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2F1EB" w14:textId="77777777" w:rsidR="00270120" w:rsidRPr="00B73E97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B73E97">
        <w:rPr>
          <w:rFonts w:ascii="Sylfaen" w:hAnsi="Sylfaen"/>
          <w:b/>
          <w:sz w:val="28"/>
          <w:lang w:val="ka-GE"/>
        </w:rPr>
        <w:t>მთავრობის</w:t>
      </w:r>
      <w:r w:rsidR="005A44F5" w:rsidRPr="00B73E97">
        <w:rPr>
          <w:rFonts w:ascii="Sylfaen" w:hAnsi="Sylfaen"/>
          <w:b/>
          <w:sz w:val="28"/>
          <w:lang w:val="ka-GE"/>
        </w:rPr>
        <w:t xml:space="preserve"> ვალი</w:t>
      </w:r>
    </w:p>
    <w:p w14:paraId="1E1698E9" w14:textId="3FE9954E" w:rsidR="0043407E" w:rsidRPr="00FE0066" w:rsidRDefault="00CC46C4" w:rsidP="0043407E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B73E97">
        <w:rPr>
          <w:rFonts w:ascii="Sylfaen" w:hAnsi="Sylfaen" w:cs="Sylfaen"/>
          <w:sz w:val="24"/>
          <w:szCs w:val="18"/>
          <w:shd w:val="clear" w:color="auto" w:fill="FFFFFF"/>
        </w:rPr>
        <w:tab/>
      </w:r>
      <w:bookmarkStart w:id="0" w:name="_GoBack"/>
      <w:bookmarkEnd w:id="0"/>
      <w:r w:rsidR="0043407E" w:rsidRPr="00B73E97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43407E" w:rsidRPr="00B73E97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43407E" w:rsidRPr="00291229">
        <w:rPr>
          <w:rFonts w:ascii="Sylfaen" w:hAnsi="Sylfaen" w:cs="Sylfaen"/>
          <w:color w:val="000000" w:themeColor="text1"/>
          <w:sz w:val="20"/>
          <w:szCs w:val="18"/>
          <w:shd w:val="clear" w:color="auto" w:fill="FFFFFF"/>
          <w:lang w:val="ka-GE"/>
        </w:rPr>
        <w:t>განსაზღვრული</w:t>
      </w:r>
      <w:r w:rsidR="0043407E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43407E" w:rsidRPr="000369D7">
        <w:rPr>
          <w:rFonts w:ascii="Sylfaen" w:hAnsi="Sylfaen" w:cs="Sylfaen"/>
          <w:szCs w:val="18"/>
          <w:shd w:val="clear" w:color="auto" w:fill="FFFFFF"/>
          <w:lang w:val="ka-GE"/>
        </w:rPr>
        <w:t xml:space="preserve">ლიმიტის ფარგლებში </w:t>
      </w:r>
      <w:r w:rsidR="0043407E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 ვალის ნაშთი</w:t>
      </w:r>
      <w:r w:rsidR="0043407E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</w:t>
      </w:r>
      <w:r w:rsidR="0043407E" w:rsidRPr="000369D7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საჯარო და კერძო თანამშრომლობის კრიტერიუმების შესაბამისი პროექტების ფარგლებში აღებული </w:t>
      </w:r>
      <w:r w:rsidR="0043407E" w:rsidRPr="00E60B55">
        <w:rPr>
          <w:rFonts w:ascii="Sylfaen" w:hAnsi="Sylfaen" w:cs="Sylfaen"/>
          <w:szCs w:val="21"/>
          <w:shd w:val="clear" w:color="auto" w:fill="FFFFFF"/>
          <w:lang w:val="ka-GE"/>
        </w:rPr>
        <w:t>ვალდებულებების მიმდინარე ღირებულების ჯამი  202</w:t>
      </w:r>
      <w:r w:rsidR="0043407E">
        <w:rPr>
          <w:rFonts w:ascii="Sylfaen" w:hAnsi="Sylfaen" w:cs="Sylfaen"/>
          <w:szCs w:val="21"/>
          <w:shd w:val="clear" w:color="auto" w:fill="FFFFFF"/>
        </w:rPr>
        <w:t>2</w:t>
      </w:r>
      <w:r w:rsidR="0043407E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43407E">
        <w:rPr>
          <w:rFonts w:ascii="Sylfaen" w:hAnsi="Sylfaen" w:cs="Sylfaen"/>
          <w:szCs w:val="21"/>
          <w:shd w:val="clear" w:color="auto" w:fill="FFFFFF"/>
        </w:rPr>
        <w:t>31</w:t>
      </w:r>
      <w:r w:rsidR="0043407E" w:rsidRPr="00E60B5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43407E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43407E" w:rsidRPr="00E60B55">
        <w:rPr>
          <w:rFonts w:ascii="Sylfaen" w:hAnsi="Sylfaen" w:cs="Sylfaen"/>
          <w:szCs w:val="21"/>
          <w:shd w:val="clear" w:color="auto" w:fill="FFFFFF"/>
          <w:lang w:val="ka-GE"/>
        </w:rPr>
        <w:t xml:space="preserve"> მდგომარეობით შეადგენს </w:t>
      </w:r>
      <w:r w:rsidR="0043407E" w:rsidRPr="00FE0066">
        <w:rPr>
          <w:rFonts w:ascii="Sylfaen" w:hAnsi="Sylfaen" w:cs="Sylfaen"/>
          <w:szCs w:val="21"/>
          <w:shd w:val="clear" w:color="auto" w:fill="FFFFFF"/>
          <w:lang w:val="ka-GE"/>
        </w:rPr>
        <w:t>28</w:t>
      </w:r>
      <w:r w:rsidR="0043407E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43407E" w:rsidRPr="00FE0066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43407E">
        <w:rPr>
          <w:rFonts w:ascii="Sylfaen" w:hAnsi="Sylfaen" w:cs="Sylfaen"/>
          <w:szCs w:val="21"/>
          <w:shd w:val="clear" w:color="auto" w:fill="FFFFFF"/>
          <w:lang w:val="ka-GE"/>
        </w:rPr>
        <w:t>18</w:t>
      </w:r>
      <w:r w:rsidR="0043407E" w:rsidRPr="00FE0066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43407E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43407E" w:rsidRPr="00FE0066">
        <w:rPr>
          <w:rFonts w:ascii="Sylfaen" w:hAnsi="Sylfaen" w:cs="Sylfaen"/>
          <w:szCs w:val="21"/>
          <w:shd w:val="clear" w:color="auto" w:fill="FFFFFF"/>
          <w:lang w:val="ka-GE"/>
        </w:rPr>
        <w:t xml:space="preserve"> მლნ ლარს.</w:t>
      </w:r>
    </w:p>
    <w:p w14:paraId="63F4E900" w14:textId="77777777" w:rsidR="0043407E" w:rsidRDefault="0043407E" w:rsidP="0043407E">
      <w:pPr>
        <w:spacing w:after="0" w:line="240" w:lineRule="auto"/>
        <w:ind w:firstLine="720"/>
        <w:jc w:val="both"/>
        <w:rPr>
          <w:rFonts w:ascii="Sylfaen" w:hAnsi="Sylfaen"/>
          <w:szCs w:val="21"/>
          <w:shd w:val="clear" w:color="auto" w:fill="FFFFFF"/>
          <w:lang w:val="ka-GE"/>
        </w:rPr>
      </w:pPr>
      <w:r w:rsidRPr="00FE0066"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Pr="00FE0066">
        <w:rPr>
          <w:rFonts w:ascii="Sylfaen" w:hAnsi="Sylfaen"/>
          <w:szCs w:val="21"/>
          <w:shd w:val="clear" w:color="auto" w:fill="FFFFFF"/>
        </w:rPr>
        <w:t xml:space="preserve"> </w:t>
      </w:r>
      <w:r w:rsidRPr="00FE0066">
        <w:rPr>
          <w:rFonts w:ascii="Sylfaen" w:hAnsi="Sylfaen"/>
          <w:szCs w:val="21"/>
          <w:shd w:val="clear" w:color="auto" w:fill="FFFFFF"/>
          <w:lang w:val="ka-GE"/>
        </w:rPr>
        <w:t>„სახელმწიფო ვალის შესახებ“ საქართველოს კანონით გათვალისწინებულ სახელმწიფო ვალს, გარდა საქართველოს ეროვნული ბანკის მიერ აღებული ვალდებულებებისა - 27</w:t>
      </w:r>
      <w:r w:rsidRPr="00FE0066">
        <w:rPr>
          <w:rFonts w:ascii="Sylfaen" w:hAnsi="Sylfaen"/>
          <w:szCs w:val="21"/>
          <w:shd w:val="clear" w:color="auto" w:fill="FFFFFF"/>
        </w:rPr>
        <w:t xml:space="preserve"> </w:t>
      </w:r>
      <w:r w:rsidRPr="00FE0066">
        <w:rPr>
          <w:rFonts w:ascii="Sylfaen" w:hAnsi="Sylfaen"/>
          <w:szCs w:val="21"/>
          <w:shd w:val="clear" w:color="auto" w:fill="FFFFFF"/>
          <w:lang w:val="ka-GE"/>
        </w:rPr>
        <w:t>589</w:t>
      </w:r>
      <w:r w:rsidRPr="00FE0066">
        <w:rPr>
          <w:rFonts w:ascii="Sylfaen" w:hAnsi="Sylfaen"/>
          <w:szCs w:val="21"/>
          <w:shd w:val="clear" w:color="auto" w:fill="FFFFFF"/>
        </w:rPr>
        <w:t>.</w:t>
      </w:r>
      <w:r w:rsidRPr="00FE0066">
        <w:rPr>
          <w:rFonts w:ascii="Sylfaen" w:hAnsi="Sylfaen"/>
          <w:szCs w:val="21"/>
          <w:shd w:val="clear" w:color="auto" w:fill="FFFFFF"/>
          <w:lang w:val="ka-GE"/>
        </w:rPr>
        <w:t>9</w:t>
      </w:r>
      <w:r w:rsidRPr="00FE0066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Pr="00FE0066">
        <w:rPr>
          <w:rFonts w:ascii="Sylfaen" w:hAnsi="Sylfaen"/>
          <w:szCs w:val="21"/>
          <w:shd w:val="clear" w:color="auto" w:fill="FFFFFF"/>
          <w:lang w:val="ka-GE"/>
        </w:rPr>
        <w:t>მლნ ლარს,</w:t>
      </w:r>
      <w:r w:rsidRPr="00FE0066">
        <w:rPr>
          <w:rFonts w:ascii="Sylfaen" w:hAnsi="Sylfaen"/>
          <w:szCs w:val="21"/>
          <w:shd w:val="clear" w:color="auto" w:fill="FFFFFF"/>
        </w:rPr>
        <w:t xml:space="preserve"> </w:t>
      </w:r>
      <w:r w:rsidRPr="00FE0066">
        <w:rPr>
          <w:rFonts w:ascii="Sylfaen" w:hAnsi="Sylfaen"/>
          <w:szCs w:val="21"/>
          <w:shd w:val="clear" w:color="auto" w:fill="FFFFFF"/>
          <w:lang w:val="ka-GE"/>
        </w:rPr>
        <w:t xml:space="preserve"> საბიუჯეტო ორგანიზაციების სესხების  არსებულ ნაშთს -</w:t>
      </w:r>
      <w:r>
        <w:rPr>
          <w:rFonts w:ascii="Sylfaen" w:hAnsi="Sylfaen"/>
          <w:szCs w:val="21"/>
          <w:shd w:val="clear" w:color="auto" w:fill="FFFFFF"/>
        </w:rPr>
        <w:t xml:space="preserve"> </w:t>
      </w:r>
      <w:r w:rsidRPr="00FE0066">
        <w:rPr>
          <w:rFonts w:ascii="Sylfaen" w:hAnsi="Sylfaen"/>
          <w:szCs w:val="21"/>
          <w:shd w:val="clear" w:color="auto" w:fill="FFFFFF"/>
          <w:lang w:val="ka-GE"/>
        </w:rPr>
        <w:t xml:space="preserve">43.8 მლნ ლარს და 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ღირებულებას - </w:t>
      </w:r>
      <w:r>
        <w:rPr>
          <w:rFonts w:ascii="Sylfaen" w:hAnsi="Sylfaen"/>
          <w:szCs w:val="21"/>
          <w:shd w:val="clear" w:color="auto" w:fill="FFFFFF"/>
          <w:lang w:val="ka-GE"/>
        </w:rPr>
        <w:t>384.6 მლნ ლარს</w:t>
      </w:r>
      <w:r w:rsidRPr="00B73E97">
        <w:rPr>
          <w:rFonts w:ascii="Sylfaen" w:hAnsi="Sylfaen"/>
          <w:szCs w:val="21"/>
          <w:shd w:val="clear" w:color="auto" w:fill="FFFFFF"/>
          <w:lang w:val="ka-GE"/>
        </w:rPr>
        <w:t>.</w:t>
      </w:r>
    </w:p>
    <w:p w14:paraId="3A5D82D1" w14:textId="2E0F5AAE" w:rsidR="00C50CA0" w:rsidRPr="001E1573" w:rsidRDefault="00C50CA0" w:rsidP="0043407E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30706727" w14:textId="77777777" w:rsidR="000369D7" w:rsidRPr="000369D7" w:rsidRDefault="000369D7" w:rsidP="00D62E87">
      <w:pPr>
        <w:spacing w:line="240" w:lineRule="auto"/>
        <w:ind w:firstLine="720"/>
        <w:jc w:val="both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0369D7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14:paraId="63320F71" w14:textId="6A34E166" w:rsidR="006F4202" w:rsidRPr="00B73E97" w:rsidRDefault="004F1B2F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>
        <w:rPr>
          <w:rFonts w:ascii="Sylfaen" w:hAnsi="Sylfaen"/>
          <w:szCs w:val="21"/>
          <w:shd w:val="clear" w:color="auto" w:fill="FFFFFF"/>
          <w:lang w:val="ka-GE"/>
        </w:rPr>
        <w:t>2022</w:t>
      </w:r>
      <w:r w:rsidR="00D63FD8" w:rsidRPr="00D63FD8">
        <w:rPr>
          <w:rFonts w:ascii="Sylfaen" w:hAnsi="Sylfaen"/>
          <w:szCs w:val="21"/>
          <w:shd w:val="clear" w:color="auto" w:fill="FFFFFF"/>
          <w:lang w:val="ka-GE"/>
        </w:rPr>
        <w:t xml:space="preserve"> წლის </w:t>
      </w:r>
      <w:r>
        <w:rPr>
          <w:rFonts w:ascii="Sylfaen" w:hAnsi="Sylfaen"/>
          <w:szCs w:val="21"/>
          <w:shd w:val="clear" w:color="auto" w:fill="FFFFFF"/>
          <w:lang w:val="ka-GE"/>
        </w:rPr>
        <w:t>31</w:t>
      </w:r>
      <w:r w:rsidR="00D63FD8" w:rsidRPr="00D63FD8">
        <w:rPr>
          <w:rFonts w:ascii="Sylfaen" w:hAnsi="Sylfaen"/>
          <w:szCs w:val="21"/>
          <w:shd w:val="clear" w:color="auto" w:fill="FFFFFF"/>
        </w:rPr>
        <w:t xml:space="preserve"> </w:t>
      </w:r>
      <w:r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4576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D63FD8" w:rsidRPr="00D63FD8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DB657D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>საგარეო ვალის ნაშთი</w:t>
      </w:r>
      <w:r w:rsidR="003C2FBC">
        <w:rPr>
          <w:rFonts w:ascii="Sylfaen" w:hAnsi="Sylfaen"/>
          <w:szCs w:val="21"/>
          <w:shd w:val="clear" w:color="auto" w:fill="FFFFFF"/>
          <w:lang w:val="ka-GE"/>
        </w:rPr>
        <w:t xml:space="preserve"> შეადგენს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>
        <w:rPr>
          <w:rFonts w:ascii="Sylfaen" w:hAnsi="Sylfaen"/>
          <w:szCs w:val="21"/>
          <w:shd w:val="clear" w:color="auto" w:fill="FFFFFF"/>
          <w:lang w:val="ka-GE"/>
        </w:rPr>
        <w:t>21</w:t>
      </w:r>
      <w:r w:rsidR="004576F3">
        <w:rPr>
          <w:rFonts w:ascii="Sylfaen" w:hAnsi="Sylfaen"/>
          <w:szCs w:val="21"/>
          <w:shd w:val="clear" w:color="auto" w:fill="FFFFFF"/>
        </w:rPr>
        <w:t xml:space="preserve"> </w:t>
      </w:r>
      <w:r>
        <w:rPr>
          <w:rFonts w:ascii="Sylfaen" w:hAnsi="Sylfaen"/>
          <w:szCs w:val="21"/>
          <w:shd w:val="clear" w:color="auto" w:fill="FFFFFF"/>
          <w:lang w:val="ka-GE"/>
        </w:rPr>
        <w:t>095</w:t>
      </w:r>
      <w:r w:rsidR="004576F3">
        <w:rPr>
          <w:rFonts w:ascii="Sylfaen" w:hAnsi="Sylfaen"/>
          <w:szCs w:val="21"/>
          <w:shd w:val="clear" w:color="auto" w:fill="FFFFFF"/>
        </w:rPr>
        <w:t>.</w:t>
      </w:r>
      <w:r>
        <w:rPr>
          <w:rFonts w:ascii="Sylfaen" w:hAnsi="Sylfaen"/>
          <w:szCs w:val="21"/>
          <w:shd w:val="clear" w:color="auto" w:fill="FFFFFF"/>
          <w:lang w:val="ka-GE"/>
        </w:rPr>
        <w:t>4</w:t>
      </w:r>
      <w:r w:rsidR="004576F3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ლარ</w:t>
      </w:r>
      <w:r w:rsidR="003C2FBC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>,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3C2FBC">
        <w:rPr>
          <w:rFonts w:ascii="Sylfaen" w:hAnsi="Sylfaen"/>
          <w:szCs w:val="21"/>
          <w:shd w:val="clear" w:color="auto" w:fill="FFFFFF"/>
          <w:lang w:val="ka-GE"/>
        </w:rPr>
        <w:t xml:space="preserve">რომელიც 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C2FBC" w:rsidRPr="00FE0066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="003C2FBC" w:rsidRPr="00FE0066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r w:rsidR="00D87989" w:rsidRPr="00FE0066">
        <w:rPr>
          <w:rFonts w:ascii="Sylfaen" w:hAnsi="Sylfaen"/>
          <w:szCs w:val="21"/>
          <w:shd w:val="clear" w:color="auto" w:fill="FFFFFF"/>
        </w:rPr>
        <w:t>76</w:t>
      </w:r>
      <w:r w:rsidR="006F4202" w:rsidRPr="00FE0066">
        <w:rPr>
          <w:rFonts w:ascii="Sylfaen" w:hAnsi="Sylfaen"/>
          <w:szCs w:val="21"/>
          <w:shd w:val="clear" w:color="auto" w:fill="FFFFFF"/>
        </w:rPr>
        <w:t>%-</w:t>
      </w:r>
      <w:r w:rsidR="006F4202" w:rsidRPr="00FE0066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FE0066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FE0066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FE0066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FE0066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FE0066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FE0066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proofErr w:type="spellStart"/>
      <w:r w:rsidR="006F4202" w:rsidRPr="00FE0066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</w:rPr>
        <w:t xml:space="preserve"> </w:t>
      </w:r>
      <w:r w:rsidR="002A3C73" w:rsidRPr="00FE0066">
        <w:rPr>
          <w:rFonts w:ascii="Sylfaen" w:hAnsi="Sylfaen"/>
          <w:szCs w:val="21"/>
          <w:shd w:val="clear" w:color="auto" w:fill="FFFFFF"/>
          <w:lang w:val="ka-GE"/>
        </w:rPr>
        <w:t>2</w:t>
      </w:r>
      <w:r w:rsidR="001E1573" w:rsidRPr="00FE0066">
        <w:rPr>
          <w:rFonts w:ascii="Sylfaen" w:hAnsi="Sylfaen"/>
          <w:szCs w:val="21"/>
          <w:shd w:val="clear" w:color="auto" w:fill="FFFFFF"/>
          <w:lang w:val="ka-GE"/>
        </w:rPr>
        <w:t>0</w:t>
      </w:r>
      <w:r w:rsidR="002A3C73" w:rsidRPr="00FE0066">
        <w:rPr>
          <w:rFonts w:ascii="Sylfaen" w:hAnsi="Sylfaen"/>
          <w:szCs w:val="21"/>
          <w:shd w:val="clear" w:color="auto" w:fill="FFFFFF"/>
          <w:lang w:val="ka-GE"/>
        </w:rPr>
        <w:t>.</w:t>
      </w:r>
      <w:r w:rsidR="00D87989" w:rsidRPr="00FE0066">
        <w:rPr>
          <w:rFonts w:ascii="Sylfaen" w:hAnsi="Sylfaen"/>
          <w:szCs w:val="21"/>
          <w:shd w:val="clear" w:color="auto" w:fill="FFFFFF"/>
        </w:rPr>
        <w:t>5</w:t>
      </w:r>
      <w:r w:rsidR="00C126E1" w:rsidRPr="00FE0066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="006F4202" w:rsidRPr="00FE0066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FE0066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FE0066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1A4349" w:rsidRPr="00FE0066">
        <w:rPr>
          <w:rFonts w:ascii="Sylfaen" w:hAnsi="Sylfaen"/>
          <w:szCs w:val="21"/>
          <w:shd w:val="clear" w:color="auto" w:fill="FFFFFF"/>
          <w:lang w:val="ka-GE"/>
        </w:rPr>
        <w:t>9</w:t>
      </w:r>
      <w:r w:rsidR="004576F3" w:rsidRPr="00FE0066">
        <w:rPr>
          <w:rFonts w:ascii="Sylfaen" w:hAnsi="Sylfaen"/>
          <w:szCs w:val="21"/>
          <w:shd w:val="clear" w:color="auto" w:fill="FFFFFF"/>
          <w:lang w:val="ka-GE"/>
        </w:rPr>
        <w:t>.</w:t>
      </w:r>
      <w:r w:rsidR="00D87989" w:rsidRPr="00FE0066">
        <w:rPr>
          <w:rFonts w:ascii="Sylfaen" w:hAnsi="Sylfaen"/>
          <w:szCs w:val="21"/>
          <w:shd w:val="clear" w:color="auto" w:fill="FFFFFF"/>
        </w:rPr>
        <w:t>4</w:t>
      </w:r>
      <w:r w:rsidR="00C126E1" w:rsidRPr="00FE0066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FE0066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FE0066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FE0066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D87989" w:rsidRPr="00FE0066">
        <w:rPr>
          <w:rFonts w:ascii="Sylfaen" w:hAnsi="Sylfaen" w:cs="Sylfaen"/>
          <w:szCs w:val="21"/>
          <w:shd w:val="clear" w:color="auto" w:fill="FFFFFF"/>
        </w:rPr>
        <w:t>1.58</w:t>
      </w:r>
      <w:r w:rsidR="006F4202" w:rsidRPr="00FE0066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14:paraId="12875ECF" w14:textId="77777777" w:rsidR="006F4202" w:rsidRPr="00421440" w:rsidRDefault="00322857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</w:rPr>
      </w:pPr>
      <w:r w:rsidRPr="00B73E97">
        <w:rPr>
          <w:noProof/>
        </w:rPr>
        <w:drawing>
          <wp:anchor distT="0" distB="0" distL="114300" distR="114300" simplePos="0" relativeHeight="251663360" behindDoc="0" locked="0" layoutInCell="1" allowOverlap="1" wp14:anchorId="3738D991" wp14:editId="0370CDAB">
            <wp:simplePos x="0" y="0"/>
            <wp:positionH relativeFrom="column">
              <wp:posOffset>485775</wp:posOffset>
            </wp:positionH>
            <wp:positionV relativeFrom="paragraph">
              <wp:posOffset>283210</wp:posOffset>
            </wp:positionV>
            <wp:extent cx="3314700" cy="1447800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821" w:rsidRPr="00B73E97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718AC8" wp14:editId="68E5F7CA">
                <wp:simplePos x="0" y="0"/>
                <wp:positionH relativeFrom="column">
                  <wp:posOffset>4022090</wp:posOffset>
                </wp:positionH>
                <wp:positionV relativeFrom="paragraph">
                  <wp:posOffset>856615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80AC69" w14:textId="77777777" w:rsidR="00FE0066" w:rsidRPr="00A33B48" w:rsidRDefault="00FE0066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14:paraId="12633846" w14:textId="2224C799" w:rsidR="00FE0066" w:rsidRPr="001E1573" w:rsidRDefault="00FE0066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58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14:paraId="0372A049" w14:textId="30A06263" w:rsidR="00FE0066" w:rsidRPr="00A33B48" w:rsidRDefault="00FE0066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1E1573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საკონტრაქტო ვადიანობა 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.5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  <w:p w14:paraId="5F7BD59A" w14:textId="44E87098" w:rsidR="00FE0066" w:rsidRPr="00DE4001" w:rsidRDefault="00FE0066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2718AC8" id="Group 6" o:spid="_x0000_s1026" style="position:absolute;left:0;text-align:left;margin-left:316.7pt;margin-top:67.45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7B80AC69" w14:textId="77777777" w:rsidR="00FE0066" w:rsidRPr="00A33B48" w:rsidRDefault="00FE0066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14:paraId="12633846" w14:textId="2224C799" w:rsidR="00FE0066" w:rsidRPr="001E1573" w:rsidRDefault="00FE0066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1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58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14:paraId="0372A049" w14:textId="30A06263" w:rsidR="00FE0066" w:rsidRPr="00A33B48" w:rsidRDefault="00FE0066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1E1573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საკონტრაქტო ვადიანობა 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.5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  <w:p w14:paraId="5F7BD59A" w14:textId="44E87098" w:rsidR="00FE0066" w:rsidRPr="00DE4001" w:rsidRDefault="00FE0066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4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="00784855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4576F3">
        <w:rPr>
          <w:rFonts w:ascii="Sylfaen" w:hAnsi="Sylfaen" w:cs="Sylfaen"/>
          <w:b/>
          <w:szCs w:val="18"/>
          <w:shd w:val="clear" w:color="auto" w:fill="FFFFFF"/>
          <w:lang w:val="ka-GE"/>
        </w:rPr>
        <w:t>20</w:t>
      </w:r>
      <w:r w:rsidR="000A7B97" w:rsidRPr="004576F3">
        <w:rPr>
          <w:rFonts w:ascii="Sylfaen" w:hAnsi="Sylfaen" w:cs="Sylfaen"/>
          <w:b/>
          <w:szCs w:val="18"/>
          <w:shd w:val="clear" w:color="auto" w:fill="FFFFFF"/>
          <w:lang w:val="ka-GE"/>
        </w:rPr>
        <w:t>2</w:t>
      </w:r>
      <w:r w:rsidR="004F1B2F">
        <w:rPr>
          <w:rFonts w:ascii="Sylfaen" w:hAnsi="Sylfaen" w:cs="Sylfaen"/>
          <w:b/>
          <w:szCs w:val="18"/>
          <w:shd w:val="clear" w:color="auto" w:fill="FFFFFF"/>
          <w:lang w:val="ka-GE"/>
        </w:rPr>
        <w:t>2</w:t>
      </w:r>
      <w:r w:rsidR="008D1F2B" w:rsidRPr="004576F3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CB36D7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4576F3">
        <w:rPr>
          <w:rFonts w:ascii="Sylfaen" w:hAnsi="Sylfaen" w:cs="Sylfaen"/>
          <w:b/>
          <w:szCs w:val="18"/>
          <w:shd w:val="clear" w:color="auto" w:fill="FFFFFF"/>
          <w:lang w:val="ka-GE"/>
        </w:rPr>
        <w:t>3</w:t>
      </w:r>
      <w:r w:rsidR="004F1B2F">
        <w:rPr>
          <w:rFonts w:ascii="Sylfaen" w:hAnsi="Sylfaen" w:cs="Sylfaen"/>
          <w:b/>
          <w:szCs w:val="18"/>
          <w:shd w:val="clear" w:color="auto" w:fill="FFFFFF"/>
          <w:lang w:val="ka-GE"/>
        </w:rPr>
        <w:t>1</w:t>
      </w:r>
      <w:r w:rsidR="007350CD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4F1B2F">
        <w:rPr>
          <w:rFonts w:ascii="Sylfaen" w:hAnsi="Sylfaen" w:cs="Sylfaen"/>
          <w:b/>
          <w:szCs w:val="18"/>
          <w:shd w:val="clear" w:color="auto" w:fill="FFFFFF"/>
          <w:lang w:val="ka-GE"/>
        </w:rPr>
        <w:t>აგვისტოს</w:t>
      </w:r>
      <w:r w:rsidR="004576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14:paraId="6E4CEF3B" w14:textId="77777777" w:rsidR="00322857" w:rsidRDefault="00322857" w:rsidP="00322857">
      <w:pPr>
        <w:spacing w:line="240" w:lineRule="auto"/>
        <w:ind w:firstLine="720"/>
        <w:jc w:val="both"/>
        <w:rPr>
          <w:rFonts w:ascii="Sylfaen" w:hAnsi="Sylfaen"/>
          <w:lang w:val="ka-GE"/>
        </w:rPr>
      </w:pPr>
    </w:p>
    <w:p w14:paraId="1882A7F1" w14:textId="14B4FC3D" w:rsidR="006F4202" w:rsidRPr="00B73E97" w:rsidRDefault="004576F3" w:rsidP="0032285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 w:rsidRPr="00D63FD8">
        <w:rPr>
          <w:rFonts w:ascii="Sylfaen" w:hAnsi="Sylfaen"/>
          <w:szCs w:val="21"/>
          <w:shd w:val="clear" w:color="auto" w:fill="FFFFFF"/>
          <w:lang w:val="ka-GE"/>
        </w:rPr>
        <w:t>202</w:t>
      </w:r>
      <w:r w:rsidR="004F1B2F">
        <w:rPr>
          <w:rFonts w:ascii="Sylfaen" w:hAnsi="Sylfaen"/>
          <w:szCs w:val="21"/>
          <w:shd w:val="clear" w:color="auto" w:fill="FFFFFF"/>
          <w:lang w:val="ka-GE"/>
        </w:rPr>
        <w:t>2</w:t>
      </w:r>
      <w:r w:rsidRPr="00D63FD8">
        <w:rPr>
          <w:rFonts w:ascii="Sylfaen" w:hAnsi="Sylfaen"/>
          <w:szCs w:val="21"/>
          <w:shd w:val="clear" w:color="auto" w:fill="FFFFFF"/>
          <w:lang w:val="ka-GE"/>
        </w:rPr>
        <w:t xml:space="preserve"> წლის </w:t>
      </w:r>
      <w:r w:rsidR="004F1B2F">
        <w:rPr>
          <w:rFonts w:ascii="Sylfaen" w:hAnsi="Sylfaen"/>
          <w:szCs w:val="21"/>
          <w:shd w:val="clear" w:color="auto" w:fill="FFFFFF"/>
          <w:lang w:val="ka-GE"/>
        </w:rPr>
        <w:t>31</w:t>
      </w:r>
      <w:r w:rsidRPr="00D63FD8">
        <w:rPr>
          <w:rFonts w:ascii="Sylfaen" w:hAnsi="Sylfaen"/>
          <w:szCs w:val="21"/>
          <w:shd w:val="clear" w:color="auto" w:fill="FFFFFF"/>
        </w:rPr>
        <w:t xml:space="preserve"> </w:t>
      </w:r>
      <w:r w:rsidR="004F1B2F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4F1B2F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7447C" w:rsidRPr="00FE0066">
        <w:rPr>
          <w:rFonts w:ascii="Sylfaen" w:hAnsi="Sylfaen" w:cs="Sylfaen"/>
          <w:szCs w:val="21"/>
          <w:shd w:val="clear" w:color="auto" w:fill="FFFFFF"/>
        </w:rPr>
        <w:t>5</w:t>
      </w:r>
      <w:r w:rsidR="002D0C0E" w:rsidRPr="00FE0066">
        <w:rPr>
          <w:rFonts w:ascii="Sylfaen" w:hAnsi="Sylfaen" w:cs="Sylfaen"/>
          <w:szCs w:val="21"/>
          <w:shd w:val="clear" w:color="auto" w:fill="FFFFFF"/>
        </w:rPr>
        <w:t>3</w:t>
      </w:r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 w:rsidRPr="00FE0066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FE0066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6F4202" w:rsidRPr="00FE0066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E165DE" w:rsidRPr="00FE0066">
        <w:rPr>
          <w:rFonts w:ascii="Sylfaen" w:hAnsi="Sylfaen" w:cs="Sylfaen"/>
          <w:szCs w:val="21"/>
          <w:shd w:val="clear" w:color="auto" w:fill="FFFFFF"/>
        </w:rPr>
        <w:t>2</w:t>
      </w:r>
      <w:r w:rsidR="002D0C0E" w:rsidRPr="00FE0066">
        <w:rPr>
          <w:rFonts w:ascii="Sylfaen" w:hAnsi="Sylfaen" w:cs="Sylfaen"/>
          <w:szCs w:val="21"/>
          <w:shd w:val="clear" w:color="auto" w:fill="FFFFFF"/>
        </w:rPr>
        <w:t>0</w:t>
      </w:r>
      <w:r w:rsidR="006F4202" w:rsidRPr="00FE0066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FE0066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FE0066">
        <w:rPr>
          <w:rFonts w:ascii="Sylfaen" w:hAnsi="Sylfaen" w:cs="Sylfaen"/>
          <w:szCs w:val="21"/>
          <w:shd w:val="clear" w:color="auto" w:fill="FFFFFF"/>
          <w:lang w:val="ka-GE"/>
        </w:rPr>
        <w:t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</w:p>
    <w:p w14:paraId="6771859E" w14:textId="77777777" w:rsidR="00A93CD1" w:rsidRPr="00B73E97" w:rsidRDefault="00C50CA0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95FF81E" wp14:editId="72738F9D">
            <wp:simplePos x="0" y="0"/>
            <wp:positionH relativeFrom="column">
              <wp:posOffset>693420</wp:posOffset>
            </wp:positionH>
            <wp:positionV relativeFrom="paragraph">
              <wp:posOffset>6350</wp:posOffset>
            </wp:positionV>
            <wp:extent cx="22288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15" y="21308"/>
                <wp:lineTo x="21415" y="0"/>
                <wp:lineTo x="0" y="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857">
        <w:rPr>
          <w:noProof/>
        </w:rPr>
        <w:drawing>
          <wp:anchor distT="0" distB="0" distL="114300" distR="114300" simplePos="0" relativeHeight="251664384" behindDoc="1" locked="0" layoutInCell="1" allowOverlap="1" wp14:anchorId="13790301" wp14:editId="7C4EA612">
            <wp:simplePos x="0" y="0"/>
            <wp:positionH relativeFrom="column">
              <wp:posOffset>3939540</wp:posOffset>
            </wp:positionH>
            <wp:positionV relativeFrom="paragraph">
              <wp:posOffset>5080</wp:posOffset>
            </wp:positionV>
            <wp:extent cx="1812925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35" y="21308"/>
                <wp:lineTo x="21335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570C98" w:rsidRPr="00B73E97">
        <w:rPr>
          <w:rFonts w:ascii="Sylfaen" w:hAnsi="Sylfaen"/>
          <w:lang w:val="ka-GE"/>
        </w:rPr>
        <w:t xml:space="preserve">  </w:t>
      </w:r>
    </w:p>
    <w:p w14:paraId="091FD9AA" w14:textId="77777777" w:rsidR="006042C4" w:rsidRPr="00B73E97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25EE0B60" w14:textId="77777777" w:rsidR="002F5FB0" w:rsidRPr="00B73E97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br w:type="page"/>
      </w:r>
    </w:p>
    <w:p w14:paraId="383739B1" w14:textId="77777777" w:rsidR="00071D1D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B73E97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="004576F3" w:rsidRPr="004576F3">
        <w:rPr>
          <w:rFonts w:ascii="Sylfaen" w:hAnsi="Sylfaen"/>
          <w:b/>
          <w:lang w:val="ka-GE"/>
        </w:rPr>
        <w:t>202</w:t>
      </w:r>
      <w:r w:rsidR="004F1B2F">
        <w:rPr>
          <w:rFonts w:ascii="Sylfaen" w:hAnsi="Sylfaen"/>
          <w:b/>
          <w:lang w:val="ka-GE"/>
        </w:rPr>
        <w:t>2</w:t>
      </w:r>
      <w:r w:rsidR="004576F3" w:rsidRPr="004576F3">
        <w:rPr>
          <w:rFonts w:ascii="Sylfaen" w:hAnsi="Sylfaen"/>
          <w:b/>
          <w:lang w:val="ka-GE"/>
        </w:rPr>
        <w:t xml:space="preserve"> წლის</w:t>
      </w:r>
      <w:r w:rsidR="004F1B2F">
        <w:rPr>
          <w:rFonts w:ascii="Sylfaen" w:hAnsi="Sylfaen"/>
          <w:b/>
          <w:lang w:val="ka-GE"/>
        </w:rPr>
        <w:t xml:space="preserve"> 31 </w:t>
      </w:r>
      <w:r w:rsidR="004F1B2F" w:rsidRPr="004F1B2F">
        <w:rPr>
          <w:rFonts w:ascii="Sylfaen" w:hAnsi="Sylfaen" w:cs="Sylfaen"/>
          <w:b/>
          <w:szCs w:val="21"/>
          <w:shd w:val="clear" w:color="auto" w:fill="FFFFFF"/>
          <w:lang w:val="ka-GE"/>
        </w:rPr>
        <w:t>აგვისტოს</w:t>
      </w:r>
      <w:r w:rsidR="004F1B2F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071D1D" w:rsidRPr="00B73E97">
        <w:rPr>
          <w:rFonts w:ascii="Sylfaen" w:hAnsi="Sylfaen"/>
          <w:b/>
          <w:lang w:val="ka-GE"/>
        </w:rPr>
        <w:t>მდგომარეობით</w:t>
      </w:r>
    </w:p>
    <w:p w14:paraId="39AD10A5" w14:textId="77777777" w:rsidR="004E767B" w:rsidRDefault="004E767B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16"/>
        <w:gridCol w:w="945"/>
        <w:gridCol w:w="1312"/>
        <w:gridCol w:w="1210"/>
        <w:gridCol w:w="1266"/>
        <w:gridCol w:w="1146"/>
        <w:gridCol w:w="1138"/>
      </w:tblGrid>
      <w:tr w:rsidR="00A34E86" w:rsidRPr="00A34E86" w14:paraId="028F8048" w14:textId="77777777" w:rsidTr="00EF07D7">
        <w:trPr>
          <w:trHeight w:hRule="exact" w:val="712"/>
          <w:tblHeader/>
        </w:trPr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0E2B" w14:textId="354D0AD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კრედიტორი</w:t>
            </w:r>
            <w:proofErr w:type="spellEnd"/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5F96" w14:textId="6E2E3F2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კრედიტის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ვალუტა</w:t>
            </w:r>
            <w:proofErr w:type="spellEnd"/>
          </w:p>
        </w:tc>
        <w:tc>
          <w:tcPr>
            <w:tcW w:w="6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6E0C6" w14:textId="07CD2A8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 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აშშ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დოლარი</w:t>
            </w:r>
            <w:proofErr w:type="spellEnd"/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E9D954" w14:textId="5C8DFDA1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ნაშთი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ათასი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 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ლარი</w:t>
            </w:r>
            <w:proofErr w:type="spellEnd"/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435DB5" w14:textId="3AD1322F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EBBB3" w14:textId="512752C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საპროცენტო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განაკვეთი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მოცემული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2"/>
                <w:szCs w:val="12"/>
              </w:rPr>
              <w:t>თარიღისათვის</w:t>
            </w:r>
            <w:proofErr w:type="spellEnd"/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239ECA" w14:textId="62F60D3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შეწონილი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საპროცენტო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განაკვეთი</w:t>
            </w:r>
            <w:proofErr w:type="spellEnd"/>
          </w:p>
        </w:tc>
      </w:tr>
      <w:tr w:rsidR="00A34E86" w:rsidRPr="00A34E86" w14:paraId="302A6371" w14:textId="77777777" w:rsidTr="00EF07D7">
        <w:trPr>
          <w:trHeight w:hRule="exact" w:val="386"/>
        </w:trPr>
        <w:tc>
          <w:tcPr>
            <w:tcW w:w="197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638F5E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სახელმწიფო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საგარეო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654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3EEED8" w14:textId="1C51904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7,263,002</w:t>
            </w:r>
          </w:p>
        </w:tc>
        <w:tc>
          <w:tcPr>
            <w:tcW w:w="603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5DC756" w14:textId="5330CA8A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i/>
                <w:iCs/>
                <w:sz w:val="16"/>
                <w:szCs w:val="16"/>
              </w:rPr>
              <w:t>21,095,390</w:t>
            </w:r>
          </w:p>
        </w:tc>
        <w:tc>
          <w:tcPr>
            <w:tcW w:w="631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B4F32D" w14:textId="11D6F12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E1E362" w14:textId="7DEEC859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CFEDD" w14:textId="4C88F45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</w:p>
        </w:tc>
      </w:tr>
      <w:tr w:rsidR="0007776A" w:rsidRPr="00A34E86" w14:paraId="0B1189BD" w14:textId="77777777" w:rsidTr="00EF07D7">
        <w:trPr>
          <w:trHeight w:hRule="exact" w:val="334"/>
        </w:trPr>
        <w:tc>
          <w:tcPr>
            <w:tcW w:w="19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6535A2E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მრავალმხრივი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6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5B6F18C" w14:textId="11212A2F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5,301,267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65D7733" w14:textId="260F2191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15,397,531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AB2DC96" w14:textId="2D8781E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AC5200A" w14:textId="4290618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76AE64A" w14:textId="37FA384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A34E86" w:rsidRPr="00A34E86" w14:paraId="20415A6D" w14:textId="77777777" w:rsidTr="00EF07D7">
        <w:trPr>
          <w:trHeight w:hRule="exact" w:val="187"/>
        </w:trPr>
        <w:tc>
          <w:tcPr>
            <w:tcW w:w="150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DDDDE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განვითარების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საერთაშორისო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ასოციაცია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(WB - IDA)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56F0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4B05" w14:textId="475F3AB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503,076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94DE0E" w14:textId="0D035E0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1,461,185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176D6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CC78E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47457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0.052%</w:t>
            </w:r>
          </w:p>
        </w:tc>
      </w:tr>
      <w:tr w:rsidR="00A34E86" w:rsidRPr="00A34E86" w14:paraId="58A0C737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B9CE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2BBC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6DA7" w14:textId="3A7DF27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207,556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D6787" w14:textId="2105F4B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602,847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7960E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88A82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A8FA8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0.057%</w:t>
            </w:r>
          </w:p>
        </w:tc>
      </w:tr>
      <w:tr w:rsidR="00A34E86" w:rsidRPr="00A34E86" w14:paraId="29BF8776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77A93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61AF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4D18" w14:textId="3B9F7E6F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7,733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B89FA" w14:textId="64353C2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22,461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92A3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2462A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2.15%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E8A99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1179E29A" w14:textId="77777777" w:rsidTr="00EF07D7">
        <w:trPr>
          <w:trHeight w:hRule="exact" w:val="187"/>
        </w:trPr>
        <w:tc>
          <w:tcPr>
            <w:tcW w:w="150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C7FC7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რეკონსტრუქციის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და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განვითარების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საერთაშორისო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ბანკი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 (WB - IBRD)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EBAD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22012" w14:textId="1872DBC5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90,251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53032" w14:textId="1FE3693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262,134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6F05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E1A8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1.39%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CBBB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0.017%</w:t>
            </w:r>
          </w:p>
        </w:tc>
      </w:tr>
      <w:tr w:rsidR="00A34E86" w:rsidRPr="00A34E86" w14:paraId="4C53501F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6EB3D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AB4CF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7659" w14:textId="7A748CCF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4,452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D0D45" w14:textId="246EA3E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12,930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63013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3232E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2.66%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6DFC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3BAD34F1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35A102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EAB3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F628" w14:textId="12DC094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5,356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23791" w14:textId="0134CC0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15,556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AAA1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CFED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3.05%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3A467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231E3676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4DDDC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5038B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48DB" w14:textId="3F56F6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48,475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B1E" w14:textId="7B90032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140,797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E2D48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1307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0.63%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C254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A34E86" w:rsidRPr="00A34E86" w14:paraId="7F89340E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C0C7B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17ACB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CC41" w14:textId="55A523B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12,290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BE2A" w14:textId="22D5AAD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35,697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1C485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0F3D6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0.72%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309B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A34E86" w:rsidRPr="00A34E86" w14:paraId="7D589403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EF738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EFC2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4C93" w14:textId="3B8B92CA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32,988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7168" w14:textId="191848A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95,812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FE59A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C14DD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1.05%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39DC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A34E86" w:rsidRPr="00A34E86" w14:paraId="22169C2B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3242F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000AE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DBA4" w14:textId="4268C61A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44,724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045D" w14:textId="226EF86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129,902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0D18D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E944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1.33%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0BF72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A34E86" w:rsidRPr="00A34E86" w14:paraId="6C77919E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71EC38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800EF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9EAEC" w14:textId="3DF1D83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21,148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427E" w14:textId="55C8ECB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61,425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719EB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1814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1.58%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97B9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A34E86" w:rsidRPr="00A34E86" w14:paraId="3771F71D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1A4FF6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7A6A0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8530" w14:textId="4FF559C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69,665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93DB5" w14:textId="1E13C25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202,343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A1163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DEA83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1.90%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8AE4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07776A" w:rsidRPr="00A34E86" w14:paraId="350DF1F9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21E4E9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77C2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0F9B" w14:textId="12B9B67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26,383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7790" w14:textId="3361B41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76,628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9A961" w14:textId="25548CA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Ref.Rate+VS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3AE7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1.83%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8652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A34E86" w:rsidRPr="00A34E86" w14:paraId="1D78B1D9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089EA4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AFAD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7D98" w14:textId="1A77CCE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54,545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FD3F" w14:textId="485D4A3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158,427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43293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1CA5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2.15%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C933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0.016%</w:t>
            </w:r>
          </w:p>
        </w:tc>
      </w:tr>
      <w:tr w:rsidR="00A34E86" w:rsidRPr="00A34E86" w14:paraId="675A4EE2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B97E4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ED94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1FC9" w14:textId="255B988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14,691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406E" w14:textId="30FBA2A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42,671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FCF9C3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8702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2.72%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2516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A34E86" w:rsidRPr="00A34E86" w14:paraId="4D942792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912C37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9F3F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87EC" w14:textId="076461A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208,316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5B4C" w14:textId="7C45EB35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605,053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D3687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BB92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B0D2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0.086%</w:t>
            </w:r>
          </w:p>
        </w:tc>
      </w:tr>
      <w:tr w:rsidR="00A34E86" w:rsidRPr="00A34E86" w14:paraId="6EEF53C5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BEF1DE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1A5B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560A" w14:textId="15AD75C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286,782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A170" w14:textId="193CD9E9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832,959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AD2348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52B9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3.38%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5AA3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0.133%</w:t>
            </w:r>
          </w:p>
        </w:tc>
      </w:tr>
      <w:tr w:rsidR="00A34E86" w:rsidRPr="00A34E86" w14:paraId="4397E79C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DA653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29E6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1E6" w14:textId="31209A2F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80,257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DBD9" w14:textId="6ED1C915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233,106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0EDEC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4AAE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3.45%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CD4A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0.038%</w:t>
            </w:r>
          </w:p>
        </w:tc>
      </w:tr>
      <w:tr w:rsidR="00A34E86" w:rsidRPr="00A34E86" w14:paraId="06C83B14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9D21B1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24AD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9F4F" w14:textId="3078E0F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73,102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54D2" w14:textId="7546D23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212,324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8CBBD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E8F0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3.60%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2DA2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0.036%</w:t>
            </w:r>
          </w:p>
        </w:tc>
      </w:tr>
      <w:tr w:rsidR="00A34E86" w:rsidRPr="00A34E86" w14:paraId="44306F0D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8F1C32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9914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B526" w14:textId="26E49AD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145,697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2561" w14:textId="74A0A21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423,176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206EB6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0CCB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3.80%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3A789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0.076%</w:t>
            </w:r>
          </w:p>
        </w:tc>
      </w:tr>
      <w:tr w:rsidR="00A34E86" w:rsidRPr="00A34E86" w14:paraId="6E073FE9" w14:textId="77777777" w:rsidTr="00EF07D7">
        <w:trPr>
          <w:trHeight w:hRule="exact" w:val="187"/>
        </w:trPr>
        <w:tc>
          <w:tcPr>
            <w:tcW w:w="150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22C9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სოფლის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მეურნეობის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განვითარების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საერთაშორისო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ფონდი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(IFAD)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0436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76E3D" w14:textId="0C955F1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15,469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CD221" w14:textId="67F6FD3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44,930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6302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412A4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0063F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774C1587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BB74C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3969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9FE8" w14:textId="3D268295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9,145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4F97" w14:textId="1E678C1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26,561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05123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7E6C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7E09D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07776A" w:rsidRPr="00A34E86" w14:paraId="4CD4BD45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2E47D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4606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5D2F" w14:textId="00B42B2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2,822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AA107" w14:textId="3D419E7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8,197.60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051E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(</w:t>
            </w: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Ref.Rate</w:t>
            </w:r>
            <w:proofErr w:type="spellEnd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 xml:space="preserve"> + IBRD VS)/2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3B66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0.96%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F98E4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A34E86" w:rsidRPr="00A34E86" w14:paraId="1A30238A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DDABB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098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78D3" w14:textId="4420C70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7,026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F2F5D" w14:textId="145B7B7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20,407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98CE3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CD0A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1.80%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C7BA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07776A" w:rsidRPr="00A34E86" w14:paraId="6C19E8DA" w14:textId="77777777" w:rsidTr="00EF07D7">
        <w:trPr>
          <w:trHeight w:hRule="exact" w:val="531"/>
        </w:trPr>
        <w:tc>
          <w:tcPr>
            <w:tcW w:w="1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59E16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საერთაშორისო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სავალუტო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ფონდი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(IMF EFF,MOF)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8B4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1CF5" w14:textId="426BECC5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191,298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B2E0" w14:textId="295FCFC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555,624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D2D5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1471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1.83%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0E0B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0.048%</w:t>
            </w:r>
          </w:p>
        </w:tc>
      </w:tr>
      <w:tr w:rsidR="00A34E86" w:rsidRPr="00A34E86" w14:paraId="476A2AC6" w14:textId="77777777" w:rsidTr="00EF07D7">
        <w:trPr>
          <w:trHeight w:hRule="exact" w:val="187"/>
        </w:trPr>
        <w:tc>
          <w:tcPr>
            <w:tcW w:w="150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6F69F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ევროგაერთიანება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r w:rsidRPr="00FE0066">
              <w:rPr>
                <w:rFonts w:ascii="Calibri" w:eastAsia="Times New Roman" w:hAnsi="Calibri" w:cs="Calibri"/>
                <w:color w:val="000000"/>
                <w:sz w:val="16"/>
                <w:szCs w:val="18"/>
              </w:rPr>
              <w:t>(EU)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FFC5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7F00" w14:textId="1AE49CE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95,265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7F918" w14:textId="3C557AA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276,697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BDC3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D1E2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0.13%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A79A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68E7411C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7DABA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EE18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7DE4" w14:textId="6CDA200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10,028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04DC0" w14:textId="44EBE95A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29,126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381E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AB1B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0.52%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30819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A34E86" w:rsidRPr="00A34E86" w14:paraId="27DB86EA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9BA2C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7EC2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3032" w14:textId="7BA7291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13,036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49F17" w14:textId="6F119C4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37,864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A826A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DF7A5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1.16%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5DCF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5E19EBBA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390E8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ADC3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EEBD8" w14:textId="71C3207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15,042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A8A6B" w14:textId="348189F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43,689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D199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C87B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1.25%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F054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A34E86" w:rsidRPr="00A34E86" w14:paraId="2440032D" w14:textId="77777777" w:rsidTr="00EF07D7">
        <w:trPr>
          <w:trHeight w:hRule="exact" w:val="432"/>
        </w:trPr>
        <w:tc>
          <w:tcPr>
            <w:tcW w:w="15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5193C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ევროპის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რეკონსტრუქციის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და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განვითარების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ბანკი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(EBRD)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5E46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C91D" w14:textId="6E7002B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212,917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B2FE2" w14:textId="553A219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618,416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48BC7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Euribor+ 1%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38A3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1.54%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8FC3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0.045%</w:t>
            </w:r>
          </w:p>
        </w:tc>
      </w:tr>
      <w:tr w:rsidR="0007776A" w:rsidRPr="00A34E86" w14:paraId="1CE86CF4" w14:textId="77777777" w:rsidTr="00EF07D7">
        <w:trPr>
          <w:trHeight w:hRule="exact" w:val="187"/>
        </w:trPr>
        <w:tc>
          <w:tcPr>
            <w:tcW w:w="150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963C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აზიის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განვითარების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ბანკი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(ADB)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E612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SDR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CBF8" w14:textId="4FCBE16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52,465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7D404" w14:textId="19BE5F85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152,384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D7F0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E5C9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3308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A34E86" w:rsidRPr="00A34E86" w14:paraId="29DE69DF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A886F0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D64C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EE7A" w14:textId="76023DD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251,367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9AEA4" w14:textId="5B1D8C7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730,094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E5D87C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E614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1.50%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6393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0.052%</w:t>
            </w:r>
          </w:p>
        </w:tc>
      </w:tr>
      <w:tr w:rsidR="00A34E86" w:rsidRPr="00A34E86" w14:paraId="4E04E9AB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9056F8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5427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5E98" w14:textId="5786609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23,948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0A9C4" w14:textId="635B5B6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69,558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BD6EB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C2F6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1.60%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C3579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A34E86" w:rsidRPr="00A34E86" w14:paraId="32AA7552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51179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C2C5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05B4" w14:textId="5AEC857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180,278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0A1E7" w14:textId="5EB9034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523,619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20211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33BA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34B25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0.050%</w:t>
            </w:r>
          </w:p>
        </w:tc>
      </w:tr>
      <w:tr w:rsidR="00A34E86" w:rsidRPr="00A34E86" w14:paraId="086EDE39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389BA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79497" w14:textId="7ABFB4A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2D89" w14:textId="254C797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92,559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BC1F3" w14:textId="7D57796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268,839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FC77A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7C6A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0.24%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DC748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07776A" w:rsidRPr="00A34E86" w14:paraId="11781330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4FE443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4909E" w14:textId="1FD9703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D2AB" w14:textId="4C8665EF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71,158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AB8B9" w14:textId="5EDE522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206,678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5D597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CFB6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0.33%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8640F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07776A" w:rsidRPr="00A34E86" w14:paraId="6371B943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84D3C8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D7419" w14:textId="1202805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D81F" w14:textId="5AC7621A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171,299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3EEC9C" w14:textId="05F125B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497,539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B08043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96D99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0.39%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2682B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07776A" w:rsidRPr="00A34E86" w14:paraId="1AFDDE59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D392D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7342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E74E" w14:textId="5A904D6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42,534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E7015" w14:textId="39FA81F5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123,541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0FE99D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5FA5A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0.64%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25FB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A34E86" w:rsidRPr="00A34E86" w14:paraId="4DBA5449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47CD08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1777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BAC3" w14:textId="0C3317E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14,129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C91B8" w14:textId="60C469B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41,038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F399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1A93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0.12%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5FF9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A34E86" w:rsidRPr="00A34E86" w14:paraId="3BE02799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4062F8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16D8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BF0B" w14:textId="352A7AA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169,583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D98C" w14:textId="241BD6E5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492,553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ECA8D7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15A7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0.28%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1800B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A34E86" w:rsidRPr="00A34E86" w14:paraId="2D262509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BFE7D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EB61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3811" w14:textId="06EB28F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3,562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FC85B" w14:textId="2D11856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10,344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9961F4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AC6E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0.40%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E4DA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A34E86" w:rsidRPr="00A34E86" w14:paraId="68E5E72C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79F8A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03FB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9D788" w14:textId="31EC814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125,777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E33C7" w14:textId="5B26C6B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365,320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253C0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7D81C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E8C54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A34E86" w:rsidRPr="00A34E86" w14:paraId="677DDC08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278C5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00C1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C7EC3" w14:textId="05E27CA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216,553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7BF5B" w14:textId="4FFA740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628,977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B4C89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0547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1.60%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4827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0.048%</w:t>
            </w:r>
          </w:p>
        </w:tc>
      </w:tr>
      <w:tr w:rsidR="0007776A" w:rsidRPr="00A34E86" w14:paraId="6A4BA81F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6EFFB6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4DD0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055AB" w14:textId="5931B0C5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29,167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37231" w14:textId="4CD8801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84,715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0790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Ref.Rate+FS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FAFF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1.46%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FBB2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A34E86" w:rsidRPr="00A34E86" w14:paraId="599FFD8D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DAF1C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3BD0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B3E8" w14:textId="6B72F1F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30,556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A7B63" w14:textId="18AE294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88,751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EC4FF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4B01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1.53%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52C4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A34E86" w:rsidRPr="00A34E86" w14:paraId="0447C24F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CEE3AF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01AC2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5BFB" w14:textId="775EFF2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18,528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69EE6" w14:textId="432882C1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53,816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DABAF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4692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1.87%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2F6E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A34E86" w:rsidRPr="00A34E86" w14:paraId="2302C32E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F60CDE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58750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0886" w14:textId="4F8ECC5A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10,000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9D000" w14:textId="75A9527F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29,045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DD693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B2FD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2.19%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6128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A34E86" w:rsidRPr="00A34E86" w14:paraId="2A4A19E3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067D46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0BDC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0D02" w14:textId="47EC8AD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56,985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5CDA8" w14:textId="3971B67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165,512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46F8E4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46D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2.35%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800F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A34E86" w:rsidRPr="00A34E86" w14:paraId="42C3258D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CFF39A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C1487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D2D4" w14:textId="468DA6C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73,068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2ECC0" w14:textId="1C147EC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212,227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D1648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9922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2.51%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82A7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0.025%</w:t>
            </w:r>
          </w:p>
        </w:tc>
      </w:tr>
      <w:tr w:rsidR="00A34E86" w:rsidRPr="00A34E86" w14:paraId="58A82E67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845CC7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80DD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D3BE" w14:textId="5E2005A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61,170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FEE8D" w14:textId="45F8A2C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177,669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BF587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26EE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3.35%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5764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0.028%</w:t>
            </w:r>
          </w:p>
        </w:tc>
      </w:tr>
      <w:tr w:rsidR="00A34E86" w:rsidRPr="00A34E86" w14:paraId="12B72AAD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91BBB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79A78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BE026" w14:textId="101BA3E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100,757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2D4F1" w14:textId="06C181F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292,649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5FF1C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C0D8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3.67%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0D06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0.051%</w:t>
            </w:r>
          </w:p>
        </w:tc>
      </w:tr>
      <w:tr w:rsidR="0007776A" w:rsidRPr="00A34E86" w14:paraId="2BF69102" w14:textId="77777777" w:rsidTr="00EF07D7">
        <w:trPr>
          <w:trHeight w:hRule="exact" w:val="187"/>
        </w:trPr>
        <w:tc>
          <w:tcPr>
            <w:tcW w:w="150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F7FB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აზიის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ინფრასტრუქტურის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განვითარების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ბანკი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(AIIB)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167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1171" w14:textId="4D47788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51,280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E09F9" w14:textId="7F7D638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148,943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15AE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Ref.Rate+VS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9AB7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2.53%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43894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0.018%</w:t>
            </w:r>
          </w:p>
        </w:tc>
      </w:tr>
      <w:tr w:rsidR="0007776A" w:rsidRPr="00A34E86" w14:paraId="30084CD6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5CB40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21B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CCDC" w14:textId="50BB777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84,712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DEEE" w14:textId="7EF9720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246,046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7FD1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F64BA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1.70%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0304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0.020%</w:t>
            </w:r>
          </w:p>
        </w:tc>
      </w:tr>
      <w:tr w:rsidR="00A34E86" w:rsidRPr="00A34E86" w14:paraId="2CBC8D2B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8870E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211B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1CA1" w14:textId="01F30A2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45,125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D1818" w14:textId="40D5703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131,067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020EC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D119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0.17%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914B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07776A" w:rsidRPr="00A34E86" w14:paraId="479F0E50" w14:textId="77777777" w:rsidTr="00EF07D7">
        <w:trPr>
          <w:trHeight w:hRule="exact" w:val="187"/>
        </w:trPr>
        <w:tc>
          <w:tcPr>
            <w:tcW w:w="150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788C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ევროსაბჭოს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განვითარების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ბანკი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(CEB)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691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E6E8" w14:textId="1CAD2A2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3,801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831AB" w14:textId="03B5D17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11,041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66295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4DB02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0.50%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A7F3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A34E86" w:rsidRPr="00A34E86" w14:paraId="2C44BE96" w14:textId="77777777" w:rsidTr="00EF07D7">
        <w:trPr>
          <w:trHeight w:hRule="exact" w:val="369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4E8C8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312B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5942" w14:textId="7E724DC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904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18F6" w14:textId="56BB580F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2,626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6C62F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8B0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0.24%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7924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7776A" w:rsidRPr="00A34E86" w14:paraId="037F8CE9" w14:textId="77777777" w:rsidTr="00EF07D7">
        <w:trPr>
          <w:trHeight w:hRule="exact" w:val="187"/>
        </w:trPr>
        <w:tc>
          <w:tcPr>
            <w:tcW w:w="150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04AD2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ევროპის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საინვესტიციო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ბანკი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(EIB)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3B5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79B3F" w14:textId="4000B98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85,237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8D70" w14:textId="4BD66C49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247,571</w:t>
            </w:r>
          </w:p>
        </w:tc>
        <w:tc>
          <w:tcPr>
            <w:tcW w:w="63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DDB7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8BBD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0.33%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B2B0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A34E86" w:rsidRPr="00A34E86" w14:paraId="40C0C7E9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4D6B6F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1F624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3FA6" w14:textId="68A0BFC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73,705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6E76" w14:textId="2A8E89BD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214,076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2F296A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B8E1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0.49%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7E6D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A34E86" w:rsidRPr="00A34E86" w14:paraId="2B78B957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C219C0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62A80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EC41" w14:textId="7097999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20,056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54CE" w14:textId="311DDFB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58,252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91187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528F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0.59%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2378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6305A910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B1825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A1F9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B40D2" w14:textId="6A50F261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3,673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8505" w14:textId="5079781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10,667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C55C44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842E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0.73%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C0AC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A34E86" w:rsidRPr="00A34E86" w14:paraId="266602E6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33BCED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E3C27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23B8" w14:textId="413098F9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28,012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2C4C" w14:textId="65B9119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81,361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D3A536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D55C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0.86%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08D3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A34E86" w:rsidRPr="00A34E86" w14:paraId="3B67D622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89EBF6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2E199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8B0B" w14:textId="064DF1D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51,142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EF8D" w14:textId="5C627C0E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148,543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82DC3C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D3F3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E7C6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A34E86" w:rsidRPr="00A34E86" w14:paraId="4C110732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8EB836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DABA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E52A6" w14:textId="6B720FDF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10,028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7A41" w14:textId="1C5030F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29,126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8FE22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5055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B5D8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48B7DD57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DF79C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0EB7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4597" w14:textId="181377B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19,797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9A62" w14:textId="6974362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57,501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1A763F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3B834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1.69%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E6DD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A34E86" w:rsidRPr="00A34E86" w14:paraId="1619A195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33A75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66AE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F5EF" w14:textId="09C1C24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20,056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BFBE" w14:textId="7634919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58,252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83AC7D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191E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1.94%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7C62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A34E86" w:rsidRPr="00A34E86" w14:paraId="62477553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89BAE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582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800D" w14:textId="0A53F400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85,237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28D2" w14:textId="75E0C38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247,571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4E2DFA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BAC1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2.04%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C9B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0.024%</w:t>
            </w:r>
          </w:p>
        </w:tc>
      </w:tr>
      <w:tr w:rsidR="00087552" w:rsidRPr="00A34E86" w14:paraId="0E2DA466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CCBD0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E285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0119" w14:textId="62268C5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6,182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14CB" w14:textId="5D37D151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17,955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07B7B2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F4A1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2.98%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B7CC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1609E6" w:rsidRPr="00A34E86" w14:paraId="0BC0BDBB" w14:textId="77777777" w:rsidTr="00EF07D7">
        <w:trPr>
          <w:trHeight w:hRule="exact" w:val="187"/>
        </w:trPr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89DF2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00BEE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7A16" w14:textId="025110E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20,056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628C" w14:textId="22E09FA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58,252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9CC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6B4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0.06%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C0E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07776A" w:rsidRPr="00A34E86" w14:paraId="661CB6B0" w14:textId="77777777" w:rsidTr="00EF07D7">
        <w:trPr>
          <w:trHeight w:hRule="exact" w:val="187"/>
        </w:trPr>
        <w:tc>
          <w:tcPr>
            <w:tcW w:w="1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B77FC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770293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76FA" w14:textId="516922E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45,125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29C9" w14:textId="5AC6B6D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131,067</w:t>
            </w:r>
          </w:p>
        </w:tc>
        <w:tc>
          <w:tcPr>
            <w:tcW w:w="6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7037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11A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0.25%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BCFB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0BD8E717" w14:textId="77777777" w:rsidTr="00EF07D7">
        <w:trPr>
          <w:trHeight w:hRule="exact" w:val="187"/>
        </w:trPr>
        <w:tc>
          <w:tcPr>
            <w:tcW w:w="1503" w:type="pct"/>
            <w:vMerge w:val="restart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95D8B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A6950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3CC7" w14:textId="62A67C46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89,875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6A0C" w14:textId="4F9073C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261,042</w:t>
            </w:r>
          </w:p>
        </w:tc>
        <w:tc>
          <w:tcPr>
            <w:tcW w:w="631" w:type="pct"/>
            <w:vMerge w:val="restart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E01A5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F362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0.35%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C3E2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A34E86" w:rsidRPr="00A34E86" w14:paraId="7440EBAD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60213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2A468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088A7" w14:textId="2AD898E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94,383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3FD0" w14:textId="66C76412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274,134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8803E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A79C7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0.45%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E9E7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A34E86" w:rsidRPr="00A34E86" w14:paraId="59D77439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E4681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03AA0A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201E" w14:textId="466E46EC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88,747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FA9D" w14:textId="12F4570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257,765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5E191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5B989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0.80%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B945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A34E86" w:rsidRPr="00A34E86" w14:paraId="15FBF27B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290A4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3A690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CAFC" w14:textId="1013FB3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64,178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1C3B" w14:textId="1A6C0F74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186,406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40F8D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76896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1.26%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40E7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A34E86" w:rsidRPr="00A34E86" w14:paraId="43826AF9" w14:textId="77777777" w:rsidTr="00EF07D7">
        <w:trPr>
          <w:trHeight w:hRule="exact"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9206D6" w14:textId="77777777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1D3BBF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FFE8" w14:textId="24D59328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3,008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21DF" w14:textId="000A95EB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8,738</w:t>
            </w:r>
          </w:p>
        </w:tc>
        <w:tc>
          <w:tcPr>
            <w:tcW w:w="631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BF69DC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D14E1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1.36%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6F49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07776A" w:rsidRPr="00A34E86" w14:paraId="47F12890" w14:textId="77777777" w:rsidTr="00EF07D7">
        <w:trPr>
          <w:trHeight w:hRule="exact" w:val="522"/>
        </w:trPr>
        <w:tc>
          <w:tcPr>
            <w:tcW w:w="150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A0C1" w14:textId="3125F884" w:rsidR="00A34E86" w:rsidRPr="00FE006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სკანდინავიური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გარემოსდაცვის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საფინანსო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კორპორაცია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(NEFCO)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A0532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63D63" w14:textId="74636519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1,969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B9DC" w14:textId="06BE84C3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5,718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9FFDEB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D1628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3.62%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7EB0D" w14:textId="77777777" w:rsidR="00A34E86" w:rsidRPr="00A34E86" w:rsidRDefault="00A34E86" w:rsidP="00A34E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A34E86" w:rsidRPr="00A34E86" w14:paraId="7007A1F1" w14:textId="77777777" w:rsidTr="00EF07D7">
        <w:trPr>
          <w:trHeight w:val="187"/>
        </w:trPr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9AE0A29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ორმხრივი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74C8854F" w14:textId="55F7DFF1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BAF0D4D" w14:textId="201E6805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1,460,525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59E2881" w14:textId="346ED2F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4,242,095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F84950F" w14:textId="1AA0CD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C574321" w14:textId="25F6FF63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AB72B5E" w14:textId="0FB03270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A34E86" w:rsidRPr="00A34E86" w14:paraId="7A511ED1" w14:textId="77777777" w:rsidTr="00EF07D7">
        <w:trPr>
          <w:trHeight w:val="187"/>
        </w:trPr>
        <w:tc>
          <w:tcPr>
            <w:tcW w:w="150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C90DC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ავსტრია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E40E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D1C9" w14:textId="0B46F5DA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13,942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F871" w14:textId="41F03B58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40,494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F8DA8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E4077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004B2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213640A6" w14:textId="77777777" w:rsidTr="00EF07D7">
        <w:trPr>
          <w:trHeight w:val="187"/>
        </w:trPr>
        <w:tc>
          <w:tcPr>
            <w:tcW w:w="1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8227A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აზერბაიჯანი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F612F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3120" w14:textId="74A08BD6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3,240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9656E" w14:textId="790D224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9,411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54E768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3E4E5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4FECA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A34E86" w:rsidRPr="00A34E86" w14:paraId="0DFBB645" w14:textId="77777777" w:rsidTr="00EF07D7">
        <w:trPr>
          <w:trHeight w:val="187"/>
        </w:trPr>
        <w:tc>
          <w:tcPr>
            <w:tcW w:w="15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AD787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თურქმენეთი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2AD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82B70" w14:textId="298EAF7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211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748B7" w14:textId="30607FFB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613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D9D4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8608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BCE73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A34E86" w:rsidRPr="00A34E86" w14:paraId="11D622BE" w14:textId="77777777" w:rsidTr="00EF07D7">
        <w:trPr>
          <w:trHeight w:val="187"/>
        </w:trPr>
        <w:tc>
          <w:tcPr>
            <w:tcW w:w="1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C3A27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თურქეთი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FAFC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3551" w14:textId="74180F69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6,309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53DF8" w14:textId="51278089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18,324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708E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3CFCB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3.13%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B7521F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A34E86" w:rsidRPr="00A34E86" w14:paraId="4D07657D" w14:textId="77777777" w:rsidTr="00EF07D7">
        <w:trPr>
          <w:trHeight w:val="187"/>
        </w:trPr>
        <w:tc>
          <w:tcPr>
            <w:tcW w:w="15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F7E55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ირანი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5C4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914A" w14:textId="4F5B6AB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2,363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B600" w14:textId="00C90CE8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6,864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2EA0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9DC9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FFC3C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A34E86" w:rsidRPr="00A34E86" w14:paraId="197E8F6B" w14:textId="77777777" w:rsidTr="00EF07D7">
        <w:trPr>
          <w:trHeight w:val="187"/>
        </w:trPr>
        <w:tc>
          <w:tcPr>
            <w:tcW w:w="1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D5A55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რუსეთი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3442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CFD3" w14:textId="042DB4A8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25,436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59143" w14:textId="6725B533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73,879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2BFB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D17313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385E1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0.014%</w:t>
            </w:r>
          </w:p>
        </w:tc>
      </w:tr>
      <w:tr w:rsidR="00A34E86" w:rsidRPr="00A34E86" w14:paraId="3F2BD1B5" w14:textId="77777777" w:rsidTr="00EF07D7">
        <w:trPr>
          <w:trHeight w:val="187"/>
        </w:trPr>
        <w:tc>
          <w:tcPr>
            <w:tcW w:w="15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C77A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სომხეთი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1515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1F8D" w14:textId="5F64F24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2,858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11A0" w14:textId="12A7D10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8,301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AF2A2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F1CE59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6099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A34E86" w:rsidRPr="00A34E86" w14:paraId="73A1F5C5" w14:textId="77777777" w:rsidTr="00EF07D7">
        <w:trPr>
          <w:trHeight w:val="187"/>
        </w:trPr>
        <w:tc>
          <w:tcPr>
            <w:tcW w:w="1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E865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ყაზახეთი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23C9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BF97" w14:textId="1354DD25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3,524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00170" w14:textId="60CE9183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10,237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3E9A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7557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8710F2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07776A" w:rsidRPr="00A34E86" w14:paraId="7BCA3F86" w14:textId="77777777" w:rsidTr="00EF07D7">
        <w:trPr>
          <w:trHeight w:val="187"/>
        </w:trPr>
        <w:tc>
          <w:tcPr>
            <w:tcW w:w="1503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E68F3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გერმანია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(</w:t>
            </w: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KfW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)</w:t>
            </w: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F8C8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0DEF" w14:textId="7C2C2153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4,428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07EA4" w14:textId="6CB3058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12,861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713F3" w14:textId="1F1CED66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Euribor+ 0.3%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517D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3.55%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130CF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1609E6" w:rsidRPr="00A34E86" w14:paraId="7367D9B7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3FF14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D5E6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9CB2" w14:textId="38236B6A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113,528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4205E" w14:textId="460CE4D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329,741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AAFD5" w14:textId="0A99FBE8" w:rsidR="00A34E86" w:rsidRPr="00A34E86" w:rsidRDefault="001609E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Euribor+</w:t>
            </w:r>
            <w:r w:rsidR="00A34E86" w:rsidRPr="00A34E86">
              <w:rPr>
                <w:rFonts w:ascii="Calibri" w:eastAsia="Times New Roman" w:hAnsi="Calibri" w:cs="Calibri"/>
                <w:sz w:val="16"/>
                <w:szCs w:val="16"/>
              </w:rPr>
              <w:t>0.72%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8579F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2.23%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62F0D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0.035%</w:t>
            </w:r>
          </w:p>
        </w:tc>
      </w:tr>
      <w:tr w:rsidR="001609E6" w:rsidRPr="00A34E86" w14:paraId="2C281CAA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183312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C217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A9AC" w14:textId="4E4F46A4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86,908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160459" w14:textId="45700B48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252,425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1B481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66A17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0.65%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D1B9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0.008%</w:t>
            </w:r>
          </w:p>
        </w:tc>
      </w:tr>
      <w:tr w:rsidR="001609E6" w:rsidRPr="00A34E86" w14:paraId="2C59D0E0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07110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E3B58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7238" w14:textId="66386C23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98,107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57A41" w14:textId="1F3392EA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284,951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FD40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65BDC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2F303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1609E6" w:rsidRPr="00A34E86" w14:paraId="535C34DB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EF6DF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18628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6865" w14:textId="151DE299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180,502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5EFEA" w14:textId="04E06CF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524,268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31BC5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13821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0.88%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28B7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0.022%</w:t>
            </w:r>
          </w:p>
        </w:tc>
      </w:tr>
      <w:tr w:rsidR="001609E6" w:rsidRPr="00A34E86" w14:paraId="25D45A2B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4A85A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B42A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2F8D" w14:textId="1281F8E8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24,356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20C1E" w14:textId="0B7AD40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70,741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790D9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CA648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1.65%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23DCA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1609E6" w:rsidRPr="00A34E86" w14:paraId="701EF16E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3EE40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7E3C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B4B8" w14:textId="769B1F41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38,467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3C5E5" w14:textId="15E3E05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111,727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BADDF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2A090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A8E9D2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1609E6" w:rsidRPr="00A34E86" w14:paraId="0515333E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1087D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F833F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C7A6" w14:textId="7AB008E8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14,977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A1B40" w14:textId="5171283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43,501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4281D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33AD68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2.20%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907CE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1609E6" w:rsidRPr="00A34E86" w14:paraId="1D6D9BF3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B8C45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0F62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1944" w14:textId="1225C335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7,852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93845" w14:textId="20ABBA73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22,806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07E7D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16FED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AFD43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0.005%</w:t>
            </w:r>
          </w:p>
        </w:tc>
      </w:tr>
      <w:tr w:rsidR="001609E6" w:rsidRPr="00A34E86" w14:paraId="66396CCC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47BD1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EBFC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916E" w14:textId="20B63151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12,535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81C46" w14:textId="633E2612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36,407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1984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A9B8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5.70%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D606F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0.010%</w:t>
            </w:r>
          </w:p>
        </w:tc>
      </w:tr>
      <w:tr w:rsidR="001609E6" w:rsidRPr="00A34E86" w14:paraId="509D2C0D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FAC38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EBF9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656F" w14:textId="699927E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4,560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836E7" w14:textId="3962617D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13,244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F2531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2AA9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6.68%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F6F18B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A34E86" w:rsidRPr="00A34E86" w14:paraId="6BDF669F" w14:textId="77777777" w:rsidTr="00EF07D7">
        <w:trPr>
          <w:trHeight w:val="187"/>
        </w:trPr>
        <w:tc>
          <w:tcPr>
            <w:tcW w:w="150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BE4C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იაპონია</w:t>
            </w:r>
            <w:proofErr w:type="spellEnd"/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43FB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JPY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AAEB" w14:textId="30F69C0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19,964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5BAA3" w14:textId="03B1B660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57,987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75BAB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89423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A7C93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609E6" w:rsidRPr="00A34E86" w14:paraId="799A466A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70D692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4A623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5360" w14:textId="5C1E3DBF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100,542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9485E" w14:textId="4D6CFF84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292,024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A045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E5F87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0.65%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79CC2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0.009%</w:t>
            </w:r>
          </w:p>
        </w:tc>
      </w:tr>
      <w:tr w:rsidR="001609E6" w:rsidRPr="00A34E86" w14:paraId="77D09926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C4493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F7CD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275A" w14:textId="5019848F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574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F6A833" w14:textId="42FECD8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1,666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F73C8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9B5E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1.30%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33DDC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609E6" w:rsidRPr="00A34E86" w14:paraId="7348BBC3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902FEF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8BA83B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D96A" w14:textId="33130AC9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20,376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EAC9E" w14:textId="78AF7E70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59,183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12601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BD0E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1.40%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9EDE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0.004%</w:t>
            </w:r>
          </w:p>
        </w:tc>
      </w:tr>
      <w:tr w:rsidR="001609E6" w:rsidRPr="00A34E86" w14:paraId="1F2427F9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829FD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FBC61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BD8B" w14:textId="30C63D83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10,334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62AFA" w14:textId="70E96C7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30,015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EB9C7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DED52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2.30%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A3208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0.003%</w:t>
            </w:r>
          </w:p>
        </w:tc>
      </w:tr>
      <w:tr w:rsidR="00A34E86" w:rsidRPr="00A34E86" w14:paraId="6E9FD3CD" w14:textId="77777777" w:rsidTr="00EF07D7">
        <w:trPr>
          <w:trHeight w:val="187"/>
        </w:trPr>
        <w:tc>
          <w:tcPr>
            <w:tcW w:w="150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4D21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კუვეიტი</w:t>
            </w:r>
            <w:proofErr w:type="spellEnd"/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1C461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KWD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8B76" w14:textId="414010CB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6,426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E1FFB" w14:textId="5A7B6C9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18,664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6DD28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23FB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C30B92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1609E6" w:rsidRPr="00A34E86" w14:paraId="5A9295FF" w14:textId="77777777" w:rsidTr="00EF07D7">
        <w:trPr>
          <w:trHeight w:val="187"/>
        </w:trPr>
        <w:tc>
          <w:tcPr>
            <w:tcW w:w="150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D51BE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599A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54E9" w14:textId="7951B641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5,175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1A6627" w14:textId="30A9969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15,032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DDB9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6DAEC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3.00%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D8005B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25141759" w14:textId="77777777" w:rsidTr="00EF07D7">
        <w:trPr>
          <w:trHeight w:val="187"/>
        </w:trPr>
        <w:tc>
          <w:tcPr>
            <w:tcW w:w="1503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49E7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FCD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5006" w14:textId="26DF1866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67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6A516" w14:textId="4058B744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194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80B9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418E73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4.20%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02AF82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A34E86" w:rsidRPr="00A34E86" w14:paraId="7201AAE8" w14:textId="77777777" w:rsidTr="00EF07D7">
        <w:trPr>
          <w:trHeight w:val="187"/>
        </w:trPr>
        <w:tc>
          <w:tcPr>
            <w:tcW w:w="150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7465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აშშ</w:t>
            </w:r>
            <w:proofErr w:type="spellEnd"/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0FF8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8FA9" w14:textId="693B1422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5,498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F15E4" w14:textId="49B641E5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15,968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17C15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601312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2.00%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C880C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1609E6" w:rsidRPr="00A34E86" w14:paraId="100167EB" w14:textId="77777777" w:rsidTr="00EF07D7">
        <w:trPr>
          <w:trHeight w:val="187"/>
        </w:trPr>
        <w:tc>
          <w:tcPr>
            <w:tcW w:w="150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68B34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72CB9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7F16" w14:textId="69C81FA5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2,293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74C95" w14:textId="7B1677C5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6,660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719E9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DABA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2.25%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0EB9F9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1609E6" w:rsidRPr="00A34E86" w14:paraId="6E770DF8" w14:textId="77777777" w:rsidTr="00EF07D7">
        <w:trPr>
          <w:trHeight w:val="187"/>
        </w:trPr>
        <w:tc>
          <w:tcPr>
            <w:tcW w:w="1503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C4969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90CF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7F67" w14:textId="4E37C789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4,594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B6F2D" w14:textId="7BBF8A13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13,344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50C9B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1686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2.50%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020CD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0.002%</w:t>
            </w:r>
          </w:p>
        </w:tc>
      </w:tr>
      <w:tr w:rsidR="00A34E86" w:rsidRPr="00A34E86" w14:paraId="7A5A4CF1" w14:textId="77777777" w:rsidTr="00EF07D7">
        <w:trPr>
          <w:trHeight w:val="187"/>
        </w:trPr>
        <w:tc>
          <w:tcPr>
            <w:tcW w:w="1503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D775" w14:textId="77777777" w:rsidR="00A34E86" w:rsidRPr="00FE006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საფრანგეთი</w:t>
            </w:r>
            <w:proofErr w:type="spellEnd"/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80C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A4B2" w14:textId="4F1AD17D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13,063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0F5F1" w14:textId="7CDAA4FD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37,941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7D7A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8BE8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0.17%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1A52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1609E6" w:rsidRPr="00A34E86" w14:paraId="07D239C8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46B01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E239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4654" w14:textId="585BC3A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190,530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BEDDE" w14:textId="5D07A583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553,394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41201D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79B06F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0.42%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725921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0.011%</w:t>
            </w:r>
          </w:p>
        </w:tc>
      </w:tr>
      <w:tr w:rsidR="001609E6" w:rsidRPr="00A34E86" w14:paraId="6B6F346D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F6BA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D094EB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D342" w14:textId="14BDF576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150,418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E8DA8" w14:textId="4B092961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436,890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D111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67062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0.73%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23A3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0.015%</w:t>
            </w:r>
          </w:p>
        </w:tc>
      </w:tr>
      <w:tr w:rsidR="001609E6" w:rsidRPr="00A34E86" w14:paraId="698535C2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3B3681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A6C4E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F484" w14:textId="4AF6E43F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46,733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D2592" w14:textId="7E45646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135,736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B7460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065B4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1.10%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8796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0.007%</w:t>
            </w:r>
          </w:p>
        </w:tc>
      </w:tr>
      <w:tr w:rsidR="001609E6" w:rsidRPr="00A34E86" w14:paraId="2BC76C1E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C442B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006A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1720" w14:textId="503030A0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4,563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FF42C" w14:textId="492FC0A2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13,254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73C1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39EF6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1.27%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A1946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1609E6" w:rsidRPr="00A34E86" w14:paraId="7EC436FB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8B8AED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5D594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AE98" w14:textId="72DB09E0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4,913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C0BB" w14:textId="7B0E0D4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14,270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F292A9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1373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1.41%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E0CA78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0.001%</w:t>
            </w:r>
          </w:p>
        </w:tc>
      </w:tr>
      <w:tr w:rsidR="001609E6" w:rsidRPr="00A34E86" w14:paraId="4C368069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E2FC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FB8AAF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278D" w14:textId="4DCC459A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74,927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E2D1A" w14:textId="2B155E11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217,624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C5396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Euribor + 0.6%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8011A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0.60%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8F36C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0.006%</w:t>
            </w:r>
          </w:p>
        </w:tc>
      </w:tr>
      <w:tr w:rsidR="001609E6" w:rsidRPr="00A34E86" w14:paraId="64F1CA59" w14:textId="77777777" w:rsidTr="00EF07D7">
        <w:trPr>
          <w:trHeight w:val="187"/>
        </w:trPr>
        <w:tc>
          <w:tcPr>
            <w:tcW w:w="1503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E9147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C3B8CE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95ED" w14:textId="6FDA61F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155,432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54578" w14:textId="531D6B5D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451,453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66D20E" w14:textId="54067456" w:rsidR="00A34E86" w:rsidRPr="00A34E86" w:rsidRDefault="001609E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Euribor+</w:t>
            </w:r>
            <w:r w:rsidR="00A34E86" w:rsidRPr="00A34E86">
              <w:rPr>
                <w:rFonts w:ascii="Calibri" w:eastAsia="Times New Roman" w:hAnsi="Calibri" w:cs="Calibri"/>
                <w:sz w:val="16"/>
                <w:szCs w:val="16"/>
              </w:rPr>
              <w:t>1.05%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530AB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1.37%</w:t>
            </w:r>
          </w:p>
        </w:tc>
        <w:tc>
          <w:tcPr>
            <w:tcW w:w="56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78F8E9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0.029%</w:t>
            </w:r>
          </w:p>
        </w:tc>
      </w:tr>
      <w:tr w:rsidR="00A34E86" w:rsidRPr="00A34E86" w14:paraId="22EC4BA2" w14:textId="77777777" w:rsidTr="00EF07D7">
        <w:trPr>
          <w:trHeight w:val="187"/>
        </w:trPr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2AECB20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55761CB1" w14:textId="2AACBAD5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F3798F4" w14:textId="6C1995ED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2F39CA4" w14:textId="1DCEC811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1,452,250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6CCE471" w14:textId="20DDF345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0D64AAFB" w14:textId="7DCA4F4A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002730" w14:textId="5550D70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A34E86" w:rsidRPr="00A34E86" w14:paraId="497FA375" w14:textId="77777777" w:rsidTr="00EF07D7">
        <w:trPr>
          <w:trHeight w:val="187"/>
        </w:trPr>
        <w:tc>
          <w:tcPr>
            <w:tcW w:w="1503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4E9B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>ევროობლიგაცია</w:t>
            </w:r>
            <w:proofErr w:type="spellEnd"/>
            <w:r w:rsidRPr="00FE0066">
              <w:rPr>
                <w:rFonts w:ascii="Calibri" w:eastAsia="Times New Roman" w:hAnsi="Calibri" w:cs="Calibri"/>
                <w:sz w:val="16"/>
                <w:szCs w:val="18"/>
              </w:rPr>
              <w:t xml:space="preserve"> 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7875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USD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0CC6" w14:textId="3175053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500,000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F3D4" w14:textId="2109AF7F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1,452,250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0D512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AF133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2.750%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40D51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0.189%</w:t>
            </w:r>
          </w:p>
        </w:tc>
      </w:tr>
      <w:tr w:rsidR="00A34E86" w:rsidRPr="00A34E86" w14:paraId="1FB475F0" w14:textId="77777777" w:rsidTr="00EF07D7">
        <w:trPr>
          <w:trHeight w:val="187"/>
        </w:trPr>
        <w:tc>
          <w:tcPr>
            <w:tcW w:w="15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40AEA0D6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გარანტირებული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4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65D09B6" w14:textId="0B9E6A31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A4A4809" w14:textId="128566E9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1,210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EBA4E98" w14:textId="2F893FAA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3,514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C660871" w14:textId="3F5C35EC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515EAE1E" w14:textId="4F8D7E6B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5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4A9149" w14:textId="0237A6FE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</w:tr>
      <w:tr w:rsidR="00A34E86" w:rsidRPr="00A34E86" w14:paraId="7756671F" w14:textId="77777777" w:rsidTr="00EF07D7">
        <w:trPr>
          <w:trHeight w:val="187"/>
        </w:trPr>
        <w:tc>
          <w:tcPr>
            <w:tcW w:w="150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D388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გერმანია</w:t>
            </w:r>
            <w:proofErr w:type="spellEnd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 xml:space="preserve"> (</w:t>
            </w:r>
            <w:proofErr w:type="spellStart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KfW</w:t>
            </w:r>
            <w:proofErr w:type="spellEnd"/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F5430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EUR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7C8B" w14:textId="308CDE4A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1,210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FC8CC" w14:textId="41656418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3,514</w:t>
            </w:r>
          </w:p>
        </w:tc>
        <w:tc>
          <w:tcPr>
            <w:tcW w:w="6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070DF4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Fixed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F2D4C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0.75%</w:t>
            </w:r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698669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A34E86">
              <w:rPr>
                <w:rFonts w:ascii="Calibri" w:eastAsia="Times New Roman" w:hAnsi="Calibri" w:cs="Calibri"/>
                <w:sz w:val="16"/>
                <w:szCs w:val="16"/>
              </w:rPr>
              <w:t>0.000%</w:t>
            </w:r>
          </w:p>
        </w:tc>
      </w:tr>
      <w:tr w:rsidR="00A34E86" w:rsidRPr="00A34E86" w14:paraId="738D2D61" w14:textId="77777777" w:rsidTr="00EF07D7">
        <w:trPr>
          <w:trHeight w:val="187"/>
        </w:trPr>
        <w:tc>
          <w:tcPr>
            <w:tcW w:w="197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BF0F91" w14:textId="69BDC714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45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64C4F887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საშუალო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შეწონილი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საპროცენტო</w:t>
            </w:r>
            <w:proofErr w:type="spellEnd"/>
            <w:r w:rsidRPr="00A34E8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A34E8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განაკვეთი</w:t>
            </w:r>
            <w:proofErr w:type="spellEnd"/>
          </w:p>
        </w:tc>
        <w:tc>
          <w:tcPr>
            <w:tcW w:w="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37F3E7D" w14:textId="77777777" w:rsidR="00A34E86" w:rsidRPr="00A34E86" w:rsidRDefault="00A34E86" w:rsidP="001609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</w:pPr>
            <w:r w:rsidRPr="00A34E86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</w:rPr>
              <w:t>1.58%</w:t>
            </w:r>
          </w:p>
        </w:tc>
      </w:tr>
    </w:tbl>
    <w:p w14:paraId="14E052F2" w14:textId="77777777" w:rsidR="002E358C" w:rsidRPr="00B73E97" w:rsidRDefault="002E358C" w:rsidP="004E767B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14:paraId="7CDABBFE" w14:textId="77777777" w:rsidR="009139F2" w:rsidRPr="00527AC4" w:rsidRDefault="009139F2" w:rsidP="00C76853">
      <w:pPr>
        <w:tabs>
          <w:tab w:val="left" w:pos="360"/>
        </w:tabs>
        <w:spacing w:after="0" w:line="240" w:lineRule="auto"/>
        <w:jc w:val="center"/>
        <w:rPr>
          <w:rFonts w:ascii="Sylfaen" w:hAnsi="Sylfaen" w:cs="Sylfaen"/>
          <w:szCs w:val="21"/>
          <w:shd w:val="clear" w:color="auto" w:fill="FFFFFF"/>
          <w:lang w:val="ka-GE"/>
        </w:rPr>
      </w:pPr>
    </w:p>
    <w:p w14:paraId="6E6AF44F" w14:textId="341647C5" w:rsidR="00A405DB" w:rsidRDefault="000A05E4" w:rsidP="004F1B2F">
      <w:pPr>
        <w:pStyle w:val="Default"/>
        <w:ind w:firstLine="709"/>
        <w:jc w:val="both"/>
        <w:rPr>
          <w:color w:val="auto"/>
          <w:sz w:val="22"/>
          <w:szCs w:val="21"/>
          <w:shd w:val="clear" w:color="auto" w:fill="FFFFFF"/>
          <w:lang w:val="ka-GE"/>
        </w:rPr>
      </w:pPr>
      <w:r w:rsidRPr="00527AC4">
        <w:rPr>
          <w:color w:val="auto"/>
          <w:sz w:val="22"/>
          <w:szCs w:val="21"/>
          <w:shd w:val="clear" w:color="auto" w:fill="FFFFFF"/>
          <w:lang w:val="ka-GE"/>
        </w:rPr>
        <w:t>202</w:t>
      </w:r>
      <w:r w:rsidR="004F1B2F">
        <w:rPr>
          <w:color w:val="auto"/>
          <w:sz w:val="22"/>
          <w:szCs w:val="21"/>
          <w:shd w:val="clear" w:color="auto" w:fill="FFFFFF"/>
          <w:lang w:val="ka-GE"/>
        </w:rPr>
        <w:t>3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წლის სახელმწიფო ბიუჯეტი</w:t>
      </w:r>
      <w:r w:rsidR="00046206">
        <w:rPr>
          <w:color w:val="auto"/>
          <w:sz w:val="22"/>
          <w:szCs w:val="21"/>
          <w:shd w:val="clear" w:color="auto" w:fill="FFFFFF"/>
          <w:lang w:val="ka-GE"/>
        </w:rPr>
        <w:t xml:space="preserve"> 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</w:t>
      </w:r>
      <w:r w:rsidRPr="005708BF">
        <w:rPr>
          <w:color w:val="auto"/>
          <w:sz w:val="22"/>
          <w:szCs w:val="21"/>
          <w:lang w:val="ka-GE"/>
        </w:rPr>
        <w:t xml:space="preserve">საინვესტიციო კრედიტების </w:t>
      </w:r>
      <w:r w:rsidRPr="00987794">
        <w:rPr>
          <w:color w:val="auto"/>
          <w:sz w:val="22"/>
          <w:szCs w:val="21"/>
          <w:lang w:val="ka-GE"/>
        </w:rPr>
        <w:t xml:space="preserve">ათვისებას </w:t>
      </w:r>
      <w:r w:rsidR="00C70518" w:rsidRPr="00987794">
        <w:rPr>
          <w:color w:val="auto"/>
          <w:sz w:val="22"/>
          <w:szCs w:val="21"/>
          <w:lang w:val="ka-GE"/>
        </w:rPr>
        <w:t xml:space="preserve">1 </w:t>
      </w:r>
      <w:r w:rsidR="004F1B2F" w:rsidRPr="00987794">
        <w:rPr>
          <w:color w:val="auto"/>
          <w:sz w:val="22"/>
          <w:szCs w:val="21"/>
          <w:lang w:val="ka-GE"/>
        </w:rPr>
        <w:t>92</w:t>
      </w:r>
      <w:r w:rsidR="00987794" w:rsidRPr="00987794">
        <w:rPr>
          <w:color w:val="auto"/>
          <w:sz w:val="22"/>
          <w:szCs w:val="21"/>
          <w:lang w:val="ka-GE"/>
        </w:rPr>
        <w:t>8</w:t>
      </w:r>
      <w:r w:rsidR="004F1B2F" w:rsidRPr="00987794">
        <w:rPr>
          <w:color w:val="auto"/>
          <w:sz w:val="22"/>
          <w:szCs w:val="21"/>
          <w:lang w:val="ka-GE"/>
        </w:rPr>
        <w:t xml:space="preserve"> </w:t>
      </w:r>
      <w:r w:rsidR="00C70518" w:rsidRPr="00987794">
        <w:rPr>
          <w:color w:val="auto"/>
          <w:sz w:val="22"/>
          <w:szCs w:val="21"/>
          <w:lang w:val="ka-GE"/>
        </w:rPr>
        <w:t>7</w:t>
      </w:r>
      <w:r w:rsidR="004F1B2F" w:rsidRPr="00987794">
        <w:rPr>
          <w:color w:val="auto"/>
          <w:sz w:val="22"/>
          <w:szCs w:val="21"/>
          <w:lang w:val="ka-GE"/>
        </w:rPr>
        <w:t>1</w:t>
      </w:r>
      <w:r w:rsidR="00C70518" w:rsidRPr="00987794">
        <w:rPr>
          <w:color w:val="auto"/>
          <w:sz w:val="22"/>
          <w:szCs w:val="21"/>
          <w:lang w:val="ka-GE"/>
        </w:rPr>
        <w:t>0.0</w:t>
      </w:r>
      <w:r w:rsidRPr="00987794">
        <w:rPr>
          <w:color w:val="auto"/>
          <w:sz w:val="22"/>
          <w:szCs w:val="21"/>
          <w:lang w:val="ka-GE"/>
        </w:rPr>
        <w:t xml:space="preserve"> ათასი</w:t>
      </w:r>
      <w:r w:rsidRPr="00987794">
        <w:rPr>
          <w:color w:val="auto"/>
          <w:sz w:val="22"/>
          <w:szCs w:val="21"/>
          <w:shd w:val="clear" w:color="auto" w:fill="FFFFFF"/>
          <w:lang w:val="ka-GE"/>
        </w:rPr>
        <w:t xml:space="preserve"> ლარის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ოდენობით. </w:t>
      </w:r>
      <w:r w:rsidR="002A0BB1"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ასევე, 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ბიუჯეტის მხარდამჭერი რესურსის სახით</w:t>
      </w:r>
      <w:r w:rsidR="00A405DB"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თანხების </w:t>
      </w:r>
      <w:r w:rsidR="00A405DB" w:rsidRPr="00B90038">
        <w:rPr>
          <w:color w:val="auto"/>
          <w:sz w:val="22"/>
          <w:szCs w:val="21"/>
          <w:shd w:val="clear" w:color="auto" w:fill="FFFFFF"/>
          <w:lang w:val="ka-GE"/>
        </w:rPr>
        <w:t>მობილიზებას</w:t>
      </w:r>
      <w:r w:rsidR="00C70518" w:rsidRPr="00B90038">
        <w:rPr>
          <w:color w:val="auto"/>
          <w:sz w:val="22"/>
          <w:szCs w:val="21"/>
          <w:shd w:val="clear" w:color="auto" w:fill="FFFFFF"/>
          <w:lang w:val="ka-GE"/>
        </w:rPr>
        <w:t xml:space="preserve"> </w:t>
      </w:r>
      <w:r w:rsidR="004F1B2F">
        <w:rPr>
          <w:color w:val="auto"/>
          <w:sz w:val="22"/>
          <w:szCs w:val="21"/>
          <w:shd w:val="clear" w:color="auto" w:fill="FFFFFF"/>
          <w:lang w:val="ka-GE"/>
        </w:rPr>
        <w:t>3</w:t>
      </w:r>
      <w:r w:rsidR="00C70518" w:rsidRPr="00B90038">
        <w:rPr>
          <w:color w:val="auto"/>
          <w:sz w:val="22"/>
          <w:szCs w:val="21"/>
          <w:shd w:val="clear" w:color="auto" w:fill="FFFFFF"/>
          <w:lang w:val="ka-GE"/>
        </w:rPr>
        <w:t>00</w:t>
      </w:r>
      <w:r w:rsidR="002A0BB1" w:rsidRPr="00B90038">
        <w:rPr>
          <w:color w:val="auto"/>
          <w:sz w:val="22"/>
          <w:szCs w:val="21"/>
          <w:shd w:val="clear" w:color="auto" w:fill="FFFFFF"/>
          <w:lang w:val="ka-GE"/>
        </w:rPr>
        <w:t xml:space="preserve"> 000.0 </w:t>
      </w:r>
      <w:r w:rsidR="002D596E" w:rsidRPr="00B90038">
        <w:rPr>
          <w:color w:val="auto"/>
          <w:sz w:val="22"/>
          <w:szCs w:val="21"/>
          <w:shd w:val="clear" w:color="auto" w:fill="FFFFFF"/>
          <w:lang w:val="ka-GE"/>
        </w:rPr>
        <w:t xml:space="preserve">ათასი </w:t>
      </w:r>
      <w:r w:rsidR="002A0BB1" w:rsidRPr="00B90038">
        <w:rPr>
          <w:color w:val="auto"/>
          <w:sz w:val="22"/>
          <w:szCs w:val="21"/>
          <w:shd w:val="clear" w:color="auto" w:fill="FFFFFF"/>
          <w:lang w:val="ka-GE"/>
        </w:rPr>
        <w:t>ლარის</w:t>
      </w:r>
      <w:r w:rsidR="002A0BB1"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მობილიზებას</w:t>
      </w:r>
      <w:r w:rsidR="00A405DB" w:rsidRPr="00527AC4">
        <w:rPr>
          <w:color w:val="auto"/>
          <w:sz w:val="22"/>
          <w:szCs w:val="21"/>
          <w:shd w:val="clear" w:color="auto" w:fill="FFFFFF"/>
          <w:lang w:val="ka-GE"/>
        </w:rPr>
        <w:t>:</w:t>
      </w:r>
    </w:p>
    <w:p w14:paraId="07F484A2" w14:textId="77777777" w:rsidR="00A06F40" w:rsidRPr="00527AC4" w:rsidRDefault="00A06F40" w:rsidP="004F1B2F">
      <w:pPr>
        <w:pStyle w:val="Default"/>
        <w:ind w:firstLine="709"/>
        <w:jc w:val="both"/>
        <w:rPr>
          <w:color w:val="auto"/>
          <w:sz w:val="22"/>
          <w:szCs w:val="21"/>
          <w:shd w:val="clear" w:color="auto" w:fill="FFFFFF"/>
          <w:lang w:val="ka-GE"/>
        </w:rPr>
      </w:pPr>
    </w:p>
    <w:p w14:paraId="182B706A" w14:textId="12DBDCA1" w:rsidR="004F1B2F" w:rsidRPr="00A06F40" w:rsidRDefault="004F1B2F" w:rsidP="005708B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A06F40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>განვითარების პოლიტიკის ღონისძიება</w:t>
      </w:r>
      <w:r w:rsidR="00A06F40" w:rsidRPr="00A06F40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 xml:space="preserve"> </w:t>
      </w:r>
      <w:r w:rsidRPr="00A06F40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>-</w:t>
      </w:r>
      <w:r w:rsidR="00A06F40" w:rsidRPr="00A06F40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 xml:space="preserve"> </w:t>
      </w:r>
      <w:r w:rsidRPr="00A06F40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>2022 პროგრამის (DPO-2022) ფარგლებში მსოფლიო ბანკიდან (WB) მისაღები სახსრები - 114 000.00  ათასი ლარის ოდენობით;</w:t>
      </w:r>
    </w:p>
    <w:p w14:paraId="558453C5" w14:textId="7D158A7D" w:rsidR="004F1B2F" w:rsidRPr="00A06F40" w:rsidRDefault="004F1B2F" w:rsidP="004F1B2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A06F40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 xml:space="preserve">ენერგეტიკის სექტორის რეფორმის პროგრამის (AFD)-6-ის  ფარგლებში საფრანგეთის განვითარების სააგენტოდან (AFD) მისაღები სახსრები – 114 000.00  ათასი ლარის ოდენობით;   </w:t>
      </w:r>
    </w:p>
    <w:p w14:paraId="508E8E6C" w14:textId="615548FB" w:rsidR="004F1B2F" w:rsidRPr="00A06F40" w:rsidRDefault="004F1B2F" w:rsidP="004F1B2F">
      <w:pPr>
        <w:pStyle w:val="Normal22"/>
        <w:numPr>
          <w:ilvl w:val="0"/>
          <w:numId w:val="16"/>
        </w:numPr>
        <w:spacing w:after="0" w:line="240" w:lineRule="auto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A06F40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lastRenderedPageBreak/>
        <w:t>რკინიგზის სექტორის რეფორმის პროგრამის ფარგლებში აზიის განვითარების ბანკიდან (ADB) მისაღები სახსრები - 72 000.00  ათასი ლარის ოდენობით.</w:t>
      </w:r>
    </w:p>
    <w:p w14:paraId="07FAA79E" w14:textId="77777777" w:rsidR="005708BF" w:rsidRPr="005708BF" w:rsidRDefault="005708BF" w:rsidP="005708BF">
      <w:pPr>
        <w:pStyle w:val="Normal22"/>
        <w:spacing w:after="0" w:line="240" w:lineRule="auto"/>
        <w:jc w:val="both"/>
        <w:rPr>
          <w:rFonts w:ascii="Sylfaen" w:eastAsia="Sylfaen" w:hAnsi="Sylfaen" w:cs="Sylfaen"/>
          <w:color w:val="000000"/>
          <w:lang w:val="ka-GE"/>
        </w:rPr>
      </w:pPr>
    </w:p>
    <w:p w14:paraId="35FD1ED5" w14:textId="2ED30879" w:rsidR="00C0485E" w:rsidRPr="005708BF" w:rsidRDefault="000A05E4" w:rsidP="00C0485E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</w:t>
      </w:r>
      <w:r w:rsidR="004F1B2F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</w:t>
      </w:r>
      <w:r w:rsidR="00EF07D7">
        <w:rPr>
          <w:rFonts w:ascii="Sylfaen" w:hAnsi="Sylfaen" w:cs="Sylfaen"/>
          <w:szCs w:val="21"/>
          <w:shd w:val="clear" w:color="auto" w:fill="FFFFFF"/>
          <w:lang w:val="ka-GE"/>
        </w:rPr>
        <w:t xml:space="preserve">ში 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>გათვალისწინებულია</w:t>
      </w:r>
      <w:r w:rsidRPr="005708B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70518" w:rsidRPr="005708BF">
        <w:rPr>
          <w:rFonts w:ascii="Sylfaen" w:hAnsi="Sylfaen" w:cs="Sylfaen"/>
          <w:szCs w:val="21"/>
          <w:shd w:val="clear" w:color="auto" w:fill="FFFFFF"/>
        </w:rPr>
        <w:t>1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F1B2F">
        <w:rPr>
          <w:rFonts w:ascii="Sylfaen" w:hAnsi="Sylfaen" w:cs="Sylfaen"/>
          <w:szCs w:val="21"/>
          <w:shd w:val="clear" w:color="auto" w:fill="FFFFFF"/>
          <w:lang w:val="ka-GE"/>
        </w:rPr>
        <w:t>650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5708BF">
        <w:rPr>
          <w:rFonts w:ascii="Sylfaen" w:hAnsi="Sylfaen" w:cs="Sylfaen"/>
          <w:szCs w:val="21"/>
          <w:shd w:val="clear" w:color="auto" w:fill="FFFFFF"/>
        </w:rPr>
        <w:t>0</w:t>
      </w:r>
      <w:r w:rsidRPr="005708BF">
        <w:rPr>
          <w:rFonts w:ascii="Sylfaen" w:hAnsi="Sylfaen" w:cs="Sylfaen"/>
          <w:szCs w:val="21"/>
          <w:shd w:val="clear" w:color="auto" w:fill="FFFFFF"/>
        </w:rPr>
        <w:t>00</w:t>
      </w:r>
      <w:r w:rsidR="00C70518" w:rsidRPr="005708BF">
        <w:rPr>
          <w:rFonts w:ascii="Sylfaen" w:hAnsi="Sylfaen" w:cs="Sylfaen"/>
          <w:szCs w:val="21"/>
          <w:shd w:val="clear" w:color="auto" w:fill="FFFFFF"/>
          <w:lang w:val="ka-GE"/>
        </w:rPr>
        <w:t>.0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ლარი, </w:t>
      </w:r>
      <w:proofErr w:type="spellStart"/>
      <w:r w:rsidRPr="005708BF">
        <w:rPr>
          <w:rFonts w:ascii="Sylfaen" w:hAnsi="Sylfaen" w:cs="Sylfaen"/>
          <w:szCs w:val="21"/>
          <w:shd w:val="clear" w:color="auto" w:fill="FFFFFF"/>
        </w:rPr>
        <w:t>საიდანაც</w:t>
      </w:r>
      <w:proofErr w:type="spellEnd"/>
      <w:r w:rsidRPr="005708B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70518" w:rsidRPr="005708BF">
        <w:rPr>
          <w:rFonts w:ascii="Sylfaen" w:hAnsi="Sylfaen" w:cs="Sylfaen"/>
          <w:szCs w:val="21"/>
          <w:shd w:val="clear" w:color="auto" w:fill="FFFFFF"/>
        </w:rPr>
        <w:t xml:space="preserve">1 </w:t>
      </w:r>
      <w:r w:rsidR="004F1B2F">
        <w:rPr>
          <w:rFonts w:ascii="Sylfaen" w:hAnsi="Sylfaen" w:cs="Sylfaen"/>
          <w:szCs w:val="21"/>
          <w:shd w:val="clear" w:color="auto" w:fill="FFFFFF"/>
          <w:lang w:val="ka-GE"/>
        </w:rPr>
        <w:t>170</w:t>
      </w:r>
      <w:r w:rsidR="00C70518" w:rsidRPr="005708BF">
        <w:rPr>
          <w:rFonts w:ascii="Sylfaen" w:hAnsi="Sylfaen" w:cs="Sylfaen"/>
          <w:szCs w:val="21"/>
          <w:shd w:val="clear" w:color="auto" w:fill="FFFFFF"/>
        </w:rPr>
        <w:t xml:space="preserve"> 000.0</w:t>
      </w:r>
      <w:r w:rsidR="00C70518" w:rsidRPr="005708BF">
        <w:rPr>
          <w:szCs w:val="24"/>
        </w:rPr>
        <w:t xml:space="preserve"> </w:t>
      </w:r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ათასი ლარი წარმოადგენს ძირითადი თანხის დაფარვას, </w:t>
      </w:r>
      <w:proofErr w:type="spellStart"/>
      <w:r w:rsidRPr="005708BF">
        <w:rPr>
          <w:rFonts w:ascii="Sylfaen" w:hAnsi="Sylfaen" w:cs="Sylfaen"/>
          <w:szCs w:val="21"/>
          <w:shd w:val="clear" w:color="auto" w:fill="FFFFFF"/>
        </w:rPr>
        <w:t>ხოლო</w:t>
      </w:r>
      <w:proofErr w:type="spellEnd"/>
      <w:r w:rsidRPr="005708BF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4F1B2F">
        <w:rPr>
          <w:rFonts w:ascii="Sylfaen" w:hAnsi="Sylfaen" w:cs="Sylfaen"/>
          <w:szCs w:val="21"/>
          <w:shd w:val="clear" w:color="auto" w:fill="FFFFFF"/>
          <w:lang w:val="ka-GE"/>
        </w:rPr>
        <w:t>480</w:t>
      </w:r>
      <w:r w:rsidR="00C70518" w:rsidRPr="005708BF">
        <w:rPr>
          <w:rFonts w:ascii="Sylfaen" w:hAnsi="Sylfaen" w:cs="Sylfaen"/>
          <w:szCs w:val="21"/>
          <w:shd w:val="clear" w:color="auto" w:fill="FFFFFF"/>
        </w:rPr>
        <w:t xml:space="preserve"> 000.0 </w:t>
      </w:r>
      <w:proofErr w:type="spellStart"/>
      <w:r w:rsidRPr="005708BF">
        <w:rPr>
          <w:rFonts w:ascii="Sylfaen" w:hAnsi="Sylfaen" w:cs="Sylfaen"/>
          <w:szCs w:val="21"/>
          <w:shd w:val="clear" w:color="auto" w:fill="FFFFFF"/>
        </w:rPr>
        <w:t>ათასი</w:t>
      </w:r>
      <w:proofErr w:type="spellEnd"/>
      <w:r w:rsidRPr="005708BF">
        <w:rPr>
          <w:rFonts w:ascii="Sylfaen" w:hAnsi="Sylfaen" w:cs="Sylfaen"/>
          <w:szCs w:val="21"/>
          <w:shd w:val="clear" w:color="auto" w:fill="FFFFFF"/>
          <w:lang w:val="ka-GE"/>
        </w:rPr>
        <w:t xml:space="preserve"> ლარი - პროცენტის თანხას.</w:t>
      </w:r>
    </w:p>
    <w:p w14:paraId="4A94A154" w14:textId="77777777" w:rsidR="00A67E3A" w:rsidRPr="005708BF" w:rsidRDefault="00A67E3A" w:rsidP="00C0485E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5708BF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5708BF">
        <w:rPr>
          <w:rFonts w:ascii="Sylfaen" w:hAnsi="Sylfaen"/>
          <w:b/>
          <w:sz w:val="20"/>
          <w:szCs w:val="20"/>
          <w:lang w:val="ka-GE"/>
        </w:rPr>
        <w:t>202</w:t>
      </w:r>
      <w:r w:rsidR="00430129">
        <w:rPr>
          <w:rFonts w:ascii="Sylfaen" w:hAnsi="Sylfaen"/>
          <w:b/>
          <w:sz w:val="20"/>
          <w:szCs w:val="20"/>
        </w:rPr>
        <w:t>3</w:t>
      </w:r>
      <w:r w:rsidR="006D20E2" w:rsidRPr="005708BF">
        <w:rPr>
          <w:rFonts w:ascii="Sylfaen" w:hAnsi="Sylfaen"/>
          <w:b/>
          <w:sz w:val="20"/>
          <w:szCs w:val="20"/>
        </w:rPr>
        <w:t xml:space="preserve"> </w:t>
      </w:r>
      <w:r w:rsidRPr="005708BF">
        <w:rPr>
          <w:rFonts w:ascii="Sylfaen" w:hAnsi="Sylfaen"/>
          <w:b/>
          <w:sz w:val="20"/>
          <w:szCs w:val="20"/>
          <w:lang w:val="ka-GE"/>
        </w:rPr>
        <w:t>წლისთვის (პროგნოზი)</w:t>
      </w:r>
    </w:p>
    <w:p w14:paraId="42FDE616" w14:textId="77777777" w:rsidR="00FB01F8" w:rsidRPr="005708BF" w:rsidRDefault="00FB01F8" w:rsidP="004F1B2F">
      <w:pPr>
        <w:tabs>
          <w:tab w:val="left" w:pos="0"/>
        </w:tabs>
        <w:spacing w:after="0" w:line="240" w:lineRule="auto"/>
        <w:ind w:right="-12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5708BF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5000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104"/>
        <w:gridCol w:w="1939"/>
        <w:gridCol w:w="1859"/>
        <w:gridCol w:w="2131"/>
      </w:tblGrid>
      <w:tr w:rsidR="00DC574F" w:rsidRPr="00437E68" w14:paraId="5CDD0C32" w14:textId="77777777" w:rsidTr="00EF07D7">
        <w:trPr>
          <w:trHeight w:hRule="exact" w:val="584"/>
          <w:tblHeader/>
          <w:jc w:val="center"/>
        </w:trPr>
        <w:tc>
          <w:tcPr>
            <w:tcW w:w="2045" w:type="pct"/>
            <w:shd w:val="clear" w:color="auto" w:fill="auto"/>
            <w:vAlign w:val="center"/>
            <w:hideMark/>
          </w:tcPr>
          <w:p w14:paraId="2170BA47" w14:textId="77777777" w:rsidR="00DC574F" w:rsidRPr="0040412C" w:rsidRDefault="00DC574F" w:rsidP="003C38B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კრედიტორები</w:t>
            </w:r>
            <w:proofErr w:type="spellEnd"/>
          </w:p>
        </w:tc>
        <w:tc>
          <w:tcPr>
            <w:tcW w:w="966" w:type="pct"/>
            <w:shd w:val="clear" w:color="auto" w:fill="auto"/>
            <w:vAlign w:val="center"/>
            <w:hideMark/>
          </w:tcPr>
          <w:p w14:paraId="7CA6F8ED" w14:textId="77777777" w:rsidR="00DC574F" w:rsidRPr="0040412C" w:rsidRDefault="00DC574F" w:rsidP="00CE433A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დაფარვა</w:t>
            </w:r>
            <w:proofErr w:type="spellEnd"/>
          </w:p>
        </w:tc>
        <w:tc>
          <w:tcPr>
            <w:tcW w:w="926" w:type="pct"/>
            <w:shd w:val="clear" w:color="auto" w:fill="auto"/>
            <w:vAlign w:val="center"/>
            <w:hideMark/>
          </w:tcPr>
          <w:p w14:paraId="2CA892B6" w14:textId="77777777" w:rsidR="00DC574F" w:rsidRPr="0040412C" w:rsidRDefault="00DC574F" w:rsidP="00CE433A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პროცენტი</w:t>
            </w:r>
            <w:proofErr w:type="spellEnd"/>
          </w:p>
        </w:tc>
        <w:tc>
          <w:tcPr>
            <w:tcW w:w="1062" w:type="pct"/>
            <w:shd w:val="clear" w:color="auto" w:fill="auto"/>
            <w:vAlign w:val="center"/>
            <w:hideMark/>
          </w:tcPr>
          <w:p w14:paraId="5A111846" w14:textId="77777777" w:rsidR="00DC574F" w:rsidRPr="0040412C" w:rsidRDefault="00430129" w:rsidP="00CE433A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სულ</w:t>
            </w:r>
            <w:proofErr w:type="spellEnd"/>
            <w: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2023</w:t>
            </w:r>
          </w:p>
        </w:tc>
      </w:tr>
      <w:tr w:rsidR="00DC574F" w:rsidRPr="00437E68" w14:paraId="7ABF0CB7" w14:textId="77777777" w:rsidTr="00EF07D7">
        <w:trPr>
          <w:trHeight w:hRule="exact" w:val="44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2729C10B" w14:textId="77777777" w:rsidR="00DC574F" w:rsidRPr="0040412C" w:rsidRDefault="00DC574F" w:rsidP="0044055F">
            <w:pPr>
              <w:spacing w:after="0" w:line="240" w:lineRule="auto"/>
              <w:jc w:val="right"/>
              <w:rPr>
                <w:rFonts w:ascii="Sylfaen" w:eastAsia="Times New Roman" w:hAnsi="Sylfaen" w:cstheme="minorHAnsi"/>
                <w:b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 </w:t>
            </w:r>
            <w:proofErr w:type="spellStart"/>
            <w:r w:rsidR="0044055F" w:rsidRPr="0040412C">
              <w:rPr>
                <w:rFonts w:ascii="Sylfaen" w:eastAsia="Times New Roman" w:hAnsi="Sylfaen" w:cstheme="minorHAnsi"/>
                <w:b/>
                <w:sz w:val="20"/>
                <w:szCs w:val="20"/>
              </w:rPr>
              <w:t>სულ</w:t>
            </w:r>
            <w:proofErr w:type="spellEnd"/>
            <w:r w:rsidR="0044055F" w:rsidRPr="0040412C">
              <w:rPr>
                <w:rFonts w:ascii="Sylfaen" w:eastAsia="Times New Roman" w:hAnsi="Sylfaen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966" w:type="pct"/>
            <w:shd w:val="clear" w:color="auto" w:fill="auto"/>
            <w:noWrap/>
            <w:vAlign w:val="center"/>
            <w:hideMark/>
          </w:tcPr>
          <w:p w14:paraId="07DF8589" w14:textId="77777777" w:rsidR="00DC574F" w:rsidRPr="0040412C" w:rsidRDefault="00DC574F" w:rsidP="00430129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1,1</w:t>
            </w:r>
            <w:r w:rsidR="00430129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7</w:t>
            </w: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251297A3" w14:textId="77777777" w:rsidR="00DC574F" w:rsidRPr="0040412C" w:rsidRDefault="0065673F" w:rsidP="00CE433A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4</w:t>
            </w:r>
            <w:r w:rsidR="00430129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8</w:t>
            </w:r>
            <w:r w:rsidR="00DC574F"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062" w:type="pct"/>
            <w:shd w:val="clear" w:color="auto" w:fill="auto"/>
            <w:noWrap/>
            <w:vAlign w:val="center"/>
            <w:hideMark/>
          </w:tcPr>
          <w:p w14:paraId="55500AE6" w14:textId="77777777" w:rsidR="00DC574F" w:rsidRPr="0040412C" w:rsidRDefault="0065673F" w:rsidP="00430129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1,</w:t>
            </w:r>
            <w:r w:rsidR="00430129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650</w:t>
            </w:r>
            <w:r w:rsidR="00DC574F"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,000</w:t>
            </w:r>
          </w:p>
        </w:tc>
      </w:tr>
      <w:tr w:rsidR="00BF43E0" w:rsidRPr="00430129" w14:paraId="658BCBE2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0E57CFA8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ავსტრია</w:t>
            </w:r>
            <w:proofErr w:type="spellEnd"/>
          </w:p>
        </w:tc>
        <w:tc>
          <w:tcPr>
            <w:tcW w:w="966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9C60738" w14:textId="1062B2D3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5,160.0</w:t>
            </w:r>
          </w:p>
        </w:tc>
        <w:tc>
          <w:tcPr>
            <w:tcW w:w="926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0FC91C" w14:textId="16145D1D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390.0</w:t>
            </w:r>
          </w:p>
        </w:tc>
        <w:tc>
          <w:tcPr>
            <w:tcW w:w="1062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A301E1" w14:textId="3A985B28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5,550.0</w:t>
            </w:r>
          </w:p>
        </w:tc>
      </w:tr>
      <w:tr w:rsidR="00BF43E0" w:rsidRPr="00430129" w14:paraId="675D715C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3F199151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კუვეიტი</w:t>
            </w:r>
            <w:proofErr w:type="spellEnd"/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E8AB2A" w14:textId="1FDA6D4A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3,810.0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FB42D3" w14:textId="134EE21E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1,540.0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C3F66F4" w14:textId="0147F3C9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5,350.0</w:t>
            </w:r>
          </w:p>
        </w:tc>
      </w:tr>
      <w:tr w:rsidR="00BF43E0" w:rsidRPr="00430129" w14:paraId="7405FEC3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06D2C4A5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იაპონია</w:t>
            </w:r>
            <w:proofErr w:type="spellEnd"/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ECEA8D5" w14:textId="3FDEE468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22,490.0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2FEABE" w14:textId="7E956D6E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3,400.0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4D3C0F" w14:textId="5A451D4D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25,890.0</w:t>
            </w:r>
          </w:p>
        </w:tc>
      </w:tr>
      <w:tr w:rsidR="00BF43E0" w:rsidRPr="00430129" w14:paraId="6F3D9659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250B6DA9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გერმანია</w:t>
            </w:r>
            <w:proofErr w:type="spellEnd"/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7AB8BF" w14:textId="1C5B0E3F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203,420.0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0E54BF" w14:textId="297FFCE6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25,670.0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5D609AA" w14:textId="16E4087D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229,090.0</w:t>
            </w:r>
          </w:p>
        </w:tc>
      </w:tr>
      <w:tr w:rsidR="00BF43E0" w:rsidRPr="00430129" w14:paraId="2A74BF75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28BDBB23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აშშ</w:t>
            </w:r>
            <w:proofErr w:type="spellEnd"/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C0E949" w14:textId="6C2D8522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6,990.0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C25882" w14:textId="637B9DA1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720.0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CA358A" w14:textId="778FD431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7,710.0</w:t>
            </w:r>
          </w:p>
        </w:tc>
      </w:tr>
      <w:tr w:rsidR="00BF43E0" w:rsidRPr="00430129" w14:paraId="56968E47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5BE1BA8D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სომხეთი</w:t>
            </w:r>
            <w:proofErr w:type="spellEnd"/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BEA543" w14:textId="31208DA1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2,720.0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5D6E6B7" w14:textId="3DA8C499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241.0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05DB931" w14:textId="06E47881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2,961.0</w:t>
            </w:r>
          </w:p>
        </w:tc>
      </w:tr>
      <w:tr w:rsidR="00BF43E0" w:rsidRPr="00430129" w14:paraId="7CC1AC56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68DD0ED6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აზერბაიჯანი</w:t>
            </w:r>
            <w:proofErr w:type="spellEnd"/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38F07CE" w14:textId="52493969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3,090.0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12B1812" w14:textId="645F560E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4720CA" w14:textId="0302645A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3,360.0</w:t>
            </w:r>
          </w:p>
        </w:tc>
      </w:tr>
      <w:tr w:rsidR="00BF43E0" w:rsidRPr="00430129" w14:paraId="58D49CC1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2CFD5FF8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ირანი</w:t>
            </w:r>
            <w:proofErr w:type="spellEnd"/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F578955" w14:textId="124ECA77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2,250.0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C3C4C5C" w14:textId="3FB5A4AF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4A2E08" w14:textId="3F56F040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2,450.0</w:t>
            </w:r>
          </w:p>
        </w:tc>
      </w:tr>
      <w:tr w:rsidR="00BF43E0" w:rsidRPr="00430129" w14:paraId="3030D60C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6F8E8CA0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ყაზახეთი</w:t>
            </w:r>
            <w:proofErr w:type="spellEnd"/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AB5C146" w14:textId="4266F5E8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3,360.0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C46AAE" w14:textId="7C194A7C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F3D5D4B" w14:textId="75A98C40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3,760.0</w:t>
            </w:r>
          </w:p>
        </w:tc>
      </w:tr>
      <w:tr w:rsidR="00BF43E0" w:rsidRPr="00430129" w14:paraId="5E988BFB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5C904EFE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ნიდერლანდები</w:t>
            </w:r>
            <w:proofErr w:type="spellEnd"/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7334ECD" w14:textId="5012710F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62D0DB" w14:textId="783A562A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7F35F37" w14:textId="6DA59B99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71.0</w:t>
            </w:r>
          </w:p>
        </w:tc>
      </w:tr>
      <w:tr w:rsidR="00BF43E0" w:rsidRPr="00430129" w14:paraId="0FF9C1F2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1D3F1592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რუსეთი</w:t>
            </w:r>
            <w:proofErr w:type="spellEnd"/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2B3F68" w14:textId="489A2245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32,082.0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2C498E" w14:textId="0FB5029E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4,130.0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0E9F16" w14:textId="54C1E396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36,212.0</w:t>
            </w:r>
          </w:p>
        </w:tc>
      </w:tr>
      <w:tr w:rsidR="00BF43E0" w:rsidRPr="00430129" w14:paraId="19B61D8A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7B92282B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თურქეთი</w:t>
            </w:r>
            <w:proofErr w:type="spellEnd"/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11BEFDC" w14:textId="46050D59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6,010.0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CD96AD" w14:textId="3FA89EC0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51A36D3" w14:textId="7F9BB265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6,590.0</w:t>
            </w:r>
          </w:p>
        </w:tc>
      </w:tr>
      <w:tr w:rsidR="00BF43E0" w:rsidRPr="00430129" w14:paraId="2EEA4AC0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7A97E549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საფრანგეთი</w:t>
            </w:r>
            <w:proofErr w:type="spellEnd"/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441D87" w14:textId="15134862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24,030.0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02D8F32" w14:textId="082DCB58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30,930.0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EDB521F" w14:textId="78AC3C5F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54,960.0</w:t>
            </w:r>
          </w:p>
        </w:tc>
      </w:tr>
      <w:tr w:rsidR="00BF43E0" w:rsidRPr="00430129" w14:paraId="25084790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65B01F62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თურქმენეთი</w:t>
            </w:r>
            <w:proofErr w:type="spellEnd"/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0B0E638" w14:textId="287F5D32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7CB03D" w14:textId="2983D612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12,260.0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381C8FD" w14:textId="541BD327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12,260.0</w:t>
            </w:r>
          </w:p>
        </w:tc>
      </w:tr>
      <w:tr w:rsidR="00BF43E0" w:rsidRPr="00430129" w14:paraId="38D879F2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49AE14E3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IDA</w:t>
            </w:r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641D6F" w14:textId="3B8F949F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329,955.0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9CA046A" w14:textId="15D118E7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23,656.0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6182F3A" w14:textId="67FA0796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353,611.0</w:t>
            </w:r>
          </w:p>
        </w:tc>
      </w:tr>
      <w:tr w:rsidR="00BF43E0" w:rsidRPr="00430129" w14:paraId="4F7DCE9F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63CB0364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IBRD</w:t>
            </w:r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4E024B" w14:textId="2D81DC45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62,810.0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BAF7D4" w14:textId="2096D38B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157,035.0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CC227CD" w14:textId="510C708E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219,845.0</w:t>
            </w:r>
          </w:p>
        </w:tc>
      </w:tr>
      <w:tr w:rsidR="00BF43E0" w:rsidRPr="00430129" w14:paraId="1C715775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286C79DD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IFAD</w:t>
            </w:r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48BCD6D" w14:textId="69898C82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7,280.0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54CD00" w14:textId="22E646E6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1,630.0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A49633F" w14:textId="1EC5914E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8,910.0</w:t>
            </w:r>
          </w:p>
        </w:tc>
      </w:tr>
      <w:tr w:rsidR="00BF43E0" w:rsidRPr="00430129" w14:paraId="48BE3112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4334E8BD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EBRD</w:t>
            </w:r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FD16E34" w14:textId="4692457A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87,690.0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07DAF0A" w14:textId="7296DBD3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19,130.0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0B0C68E" w14:textId="57AFF407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106,820.0</w:t>
            </w:r>
          </w:p>
        </w:tc>
      </w:tr>
      <w:tr w:rsidR="00BF43E0" w:rsidRPr="00430129" w14:paraId="69D730BB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436D4BBE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EIB</w:t>
            </w:r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FF8772" w14:textId="4D48AFBF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38,020.0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FFC0EEF" w14:textId="080ACE23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42,810.0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3D5BD97" w14:textId="15C9607A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80,830.0</w:t>
            </w:r>
          </w:p>
        </w:tc>
      </w:tr>
      <w:tr w:rsidR="00BF43E0" w:rsidRPr="00430129" w14:paraId="08DD0A09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7F755EE8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ADB</w:t>
            </w:r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4C6D67A" w14:textId="78401508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320,230.0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1EEB3F" w14:textId="713AF54B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84,130.0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C33C36E" w14:textId="436DC763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404,360.0</w:t>
            </w:r>
          </w:p>
        </w:tc>
      </w:tr>
      <w:tr w:rsidR="00BF43E0" w:rsidRPr="00430129" w14:paraId="4601B634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22D6C227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IMF</w:t>
            </w:r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E32591" w14:textId="051A107B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C24E585" w14:textId="41593BBA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16,650.0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E8601DA" w14:textId="366133D2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16,650.0</w:t>
            </w:r>
          </w:p>
        </w:tc>
      </w:tr>
      <w:tr w:rsidR="00BF43E0" w:rsidRPr="00430129" w14:paraId="0887EF13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4AB7B099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EU</w:t>
            </w:r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3FEB0E8" w14:textId="0FCB5E9D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CD56728" w14:textId="0490D7EC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1,560.0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E35030" w14:textId="0AB02EDD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1,560.0</w:t>
            </w:r>
          </w:p>
        </w:tc>
      </w:tr>
      <w:tr w:rsidR="00BF43E0" w:rsidRPr="00430129" w14:paraId="67B96373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61EB50C5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CEB</w:t>
            </w:r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B866E20" w14:textId="0FC319A7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F3B80A5" w14:textId="247933EC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8C2E433" w14:textId="4C287B87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580.0</w:t>
            </w:r>
          </w:p>
        </w:tc>
      </w:tr>
      <w:tr w:rsidR="00BF43E0" w:rsidRPr="00430129" w14:paraId="5802AC10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4E291469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AIIB</w:t>
            </w:r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900CDA0" w14:textId="5094DFDD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7,650.0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EDD1F8F" w14:textId="5B1DD7AD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9,640.0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4107FC7" w14:textId="37595120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17,290.0</w:t>
            </w:r>
          </w:p>
        </w:tc>
      </w:tr>
      <w:tr w:rsidR="00BF43E0" w:rsidRPr="00430129" w14:paraId="6682C928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798FD98B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NEFCO</w:t>
            </w:r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E99B3BE" w14:textId="610D9244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890.0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913873" w14:textId="0878BB9D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32F3EA3" w14:textId="27910350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1,160.0</w:t>
            </w:r>
          </w:p>
        </w:tc>
      </w:tr>
      <w:tr w:rsidR="00BF43E0" w:rsidRPr="00437E68" w14:paraId="0BC87BD6" w14:textId="77777777" w:rsidTr="00EF07D7">
        <w:trPr>
          <w:trHeight w:hRule="exact" w:val="259"/>
          <w:jc w:val="center"/>
        </w:trPr>
        <w:tc>
          <w:tcPr>
            <w:tcW w:w="2045" w:type="pct"/>
            <w:shd w:val="clear" w:color="auto" w:fill="auto"/>
            <w:noWrap/>
            <w:vAlign w:val="center"/>
            <w:hideMark/>
          </w:tcPr>
          <w:p w14:paraId="426BEA7C" w14:textId="77777777" w:rsidR="00BF43E0" w:rsidRPr="00914382" w:rsidRDefault="00BF43E0" w:rsidP="00BF43E0">
            <w:pPr>
              <w:spacing w:after="0" w:line="240" w:lineRule="auto"/>
              <w:rPr>
                <w:rFonts w:ascii="Sylfaen" w:eastAsia="Times New Roman" w:hAnsi="Sylfaen" w:cstheme="minorHAnsi"/>
                <w:sz w:val="20"/>
                <w:szCs w:val="20"/>
              </w:rPr>
            </w:pPr>
            <w:proofErr w:type="spellStart"/>
            <w:r w:rsidRPr="00914382">
              <w:rPr>
                <w:rFonts w:ascii="Sylfaen" w:eastAsia="Times New Roman" w:hAnsi="Sylfaen" w:cstheme="minorHAnsi"/>
                <w:sz w:val="20"/>
                <w:szCs w:val="20"/>
              </w:rPr>
              <w:t>ევრობონდი</w:t>
            </w:r>
            <w:proofErr w:type="spellEnd"/>
          </w:p>
        </w:tc>
        <w:tc>
          <w:tcPr>
            <w:tcW w:w="966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10F608D" w14:textId="7DAA2401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5F7E255" w14:textId="0458F9BE" w:rsidR="00BF43E0" w:rsidRPr="00430129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42,170.0</w:t>
            </w:r>
          </w:p>
        </w:tc>
        <w:tc>
          <w:tcPr>
            <w:tcW w:w="1062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B299F1" w14:textId="77BAA3BD" w:rsidR="00BF43E0" w:rsidRPr="0040412C" w:rsidRDefault="00BF43E0" w:rsidP="00BF43E0">
            <w:pPr>
              <w:spacing w:after="0" w:line="240" w:lineRule="auto"/>
              <w:jc w:val="center"/>
              <w:rPr>
                <w:rFonts w:ascii="Sylfaen" w:eastAsia="Times New Roman" w:hAnsi="Sylfaen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42,170.0</w:t>
            </w:r>
          </w:p>
        </w:tc>
      </w:tr>
    </w:tbl>
    <w:p w14:paraId="25436695" w14:textId="77777777" w:rsidR="009A5FAB" w:rsidRDefault="009A5FAB" w:rsidP="00C0485E">
      <w:pPr>
        <w:tabs>
          <w:tab w:val="left" w:pos="0"/>
        </w:tabs>
        <w:spacing w:after="0" w:line="240" w:lineRule="auto"/>
        <w:ind w:right="135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</w:p>
    <w:p w14:paraId="25C3318E" w14:textId="77777777" w:rsidR="009A5FAB" w:rsidRDefault="009A5FAB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</w:p>
    <w:p w14:paraId="4C50DCBE" w14:textId="77777777" w:rsidR="000A1240" w:rsidRPr="000A1240" w:rsidRDefault="003C2FBC" w:rsidP="003C2FBC">
      <w:pPr>
        <w:spacing w:line="240" w:lineRule="auto"/>
        <w:ind w:firstLine="720"/>
        <w:jc w:val="both"/>
        <w:rPr>
          <w:rFonts w:ascii="Sylfaen" w:hAnsi="Sylfaen" w:cs="Sylfaen"/>
          <w:b/>
          <w:szCs w:val="21"/>
          <w:shd w:val="clear" w:color="auto" w:fill="FFFFFF"/>
        </w:rPr>
      </w:pPr>
      <w:r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 საშინაო ვალი</w:t>
      </w:r>
      <w:r w:rsidR="0096735A" w:rsidRPr="000A1240">
        <w:rPr>
          <w:rFonts w:ascii="Sylfaen" w:hAnsi="Sylfaen" w:cs="Sylfaen"/>
          <w:b/>
          <w:szCs w:val="21"/>
          <w:shd w:val="clear" w:color="auto" w:fill="FFFFFF"/>
        </w:rPr>
        <w:tab/>
      </w:r>
    </w:p>
    <w:p w14:paraId="55313BCA" w14:textId="082D186B" w:rsidR="00396821" w:rsidRPr="000F487B" w:rsidRDefault="00E2344B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  <w:lang w:val="ka-GE"/>
        </w:rPr>
        <w:tab/>
      </w:r>
      <w:r w:rsidR="00FA735A">
        <w:rPr>
          <w:rFonts w:ascii="Sylfaen" w:hAnsi="Sylfaen" w:cs="Sylfaen"/>
          <w:szCs w:val="21"/>
          <w:shd w:val="clear" w:color="auto" w:fill="FFFFFF"/>
          <w:lang w:val="ka-GE"/>
        </w:rPr>
        <w:t>202</w:t>
      </w:r>
      <w:r w:rsidR="00430129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870E61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70E61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430129">
        <w:rPr>
          <w:rFonts w:ascii="Sylfaen" w:hAnsi="Sylfaen" w:cs="Sylfaen"/>
          <w:szCs w:val="21"/>
          <w:shd w:val="clear" w:color="auto" w:fill="FFFFFF"/>
          <w:lang w:val="ka-GE"/>
        </w:rPr>
        <w:t xml:space="preserve">8 თვის განმავლობაში 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</w:t>
      </w:r>
      <w:r w:rsidR="00430129">
        <w:rPr>
          <w:rFonts w:ascii="Sylfaen" w:hAnsi="Sylfaen" w:cs="Sylfaen"/>
          <w:szCs w:val="21"/>
          <w:shd w:val="clear" w:color="auto" w:fill="FFFFFF"/>
          <w:lang w:val="ka-GE"/>
        </w:rPr>
        <w:t>გამოშვება.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202</w:t>
      </w:r>
      <w:r w:rsidR="00430129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430129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430129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823046">
        <w:rPr>
          <w:rFonts w:ascii="Sylfaen" w:hAnsi="Sylfaen" w:cs="Sylfaen"/>
          <w:szCs w:val="21"/>
          <w:shd w:val="clear" w:color="auto" w:fill="FFFFFF"/>
          <w:lang w:val="ka-GE"/>
        </w:rPr>
        <w:t>10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23046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C70518">
        <w:rPr>
          <w:rFonts w:ascii="Sylfaen" w:hAnsi="Sylfaen" w:cs="Sylfaen"/>
          <w:szCs w:val="21"/>
          <w:shd w:val="clear" w:color="auto" w:fill="FFFFFF"/>
          <w:lang w:val="ka-GE"/>
        </w:rPr>
        <w:t>9.</w:t>
      </w:r>
      <w:r w:rsidR="00823046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1C7199">
        <w:rPr>
          <w:rFonts w:ascii="Sylfaen" w:hAnsi="Sylfaen" w:cs="Sylfaen"/>
          <w:szCs w:val="21"/>
          <w:shd w:val="clear" w:color="auto" w:fill="FFFFFF"/>
          <w:lang w:val="ka-GE"/>
        </w:rPr>
        <w:t>9.</w:t>
      </w:r>
      <w:r w:rsidR="00823046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%, 5 წლიანზე</w:t>
      </w:r>
      <w:r w:rsidR="009D05FD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- 9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823046">
        <w:rPr>
          <w:rFonts w:ascii="Sylfaen" w:hAnsi="Sylfaen" w:cs="Sylfaen"/>
          <w:szCs w:val="21"/>
          <w:shd w:val="clear" w:color="auto" w:fill="FFFFFF"/>
          <w:lang w:val="ka-GE"/>
        </w:rPr>
        <w:t>7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823046">
        <w:rPr>
          <w:rFonts w:ascii="Sylfaen" w:hAnsi="Sylfaen" w:cs="Sylfaen"/>
          <w:szCs w:val="21"/>
          <w:shd w:val="clear" w:color="auto" w:fill="FFFFFF"/>
          <w:lang w:val="ka-GE"/>
        </w:rPr>
        <w:t>10.0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14:paraId="5CCF9B42" w14:textId="77777777" w:rsidR="00396821" w:rsidRPr="00D63FD8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color w:val="000000" w:themeColor="text1"/>
          <w:shd w:val="clear" w:color="auto" w:fill="FFFFFF"/>
        </w:rPr>
      </w:pPr>
      <w:r w:rsidRPr="000F487B">
        <w:rPr>
          <w:rFonts w:ascii="Sylfaen" w:hAnsi="Sylfaen" w:cs="Sylfaen"/>
          <w:shd w:val="clear" w:color="auto" w:fill="FFFFFF"/>
          <w:lang w:val="ka-GE"/>
        </w:rPr>
        <w:t>ფასიანი ქაღალდების გამოშვების შედეგად მთავრობის საშინაო ვალის ნაშთმა 202</w:t>
      </w:r>
      <w:r w:rsidR="00823046">
        <w:rPr>
          <w:rFonts w:ascii="Sylfaen" w:hAnsi="Sylfaen" w:cs="Sylfaen"/>
          <w:shd w:val="clear" w:color="auto" w:fill="FFFFFF"/>
          <w:lang w:val="ka-GE"/>
        </w:rPr>
        <w:t>2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823046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Pr="000F487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823046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მდგომარეობით შეადგინა </w:t>
      </w:r>
      <w:r w:rsidR="00823046">
        <w:rPr>
          <w:rFonts w:ascii="Sylfaen" w:hAnsi="Sylfaen" w:cs="Sylfaen"/>
          <w:shd w:val="clear" w:color="auto" w:fill="FFFFFF"/>
          <w:lang w:val="ka-GE"/>
        </w:rPr>
        <w:t>6 538.3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(ფასიანი ქაღალდების დაუფარავი მოცულობა ნომინალებში - </w:t>
      </w:r>
      <w:r w:rsidR="00823046">
        <w:rPr>
          <w:rFonts w:ascii="Sylfaen" w:hAnsi="Sylfaen" w:cs="Sylfaen"/>
          <w:shd w:val="clear" w:color="auto" w:fill="FFFFFF"/>
          <w:lang w:val="ka-GE"/>
        </w:rPr>
        <w:t>6 497.2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და 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823046">
        <w:rPr>
          <w:rFonts w:ascii="Sylfaen" w:hAnsi="Sylfaen"/>
          <w:szCs w:val="21"/>
          <w:shd w:val="clear" w:color="auto" w:fill="FFFFFF"/>
          <w:lang w:val="ka-GE"/>
        </w:rPr>
        <w:t>43</w:t>
      </w:r>
      <w:r w:rsidR="001C7199">
        <w:rPr>
          <w:rFonts w:ascii="Sylfaen" w:hAnsi="Sylfaen"/>
          <w:szCs w:val="21"/>
          <w:shd w:val="clear" w:color="auto" w:fill="FFFFFF"/>
          <w:lang w:val="ka-GE"/>
        </w:rPr>
        <w:t>.8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 მლნ ლარი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), აქედან </w:t>
      </w:r>
      <w:r w:rsidR="00823046">
        <w:rPr>
          <w:rFonts w:ascii="Sylfaen" w:hAnsi="Sylfaen" w:cs="Sylfaen"/>
          <w:shd w:val="clear" w:color="auto" w:fill="FFFFFF"/>
          <w:lang w:val="ka-GE"/>
        </w:rPr>
        <w:t>6 203.7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</w:t>
      </w:r>
      <w:r w:rsidR="00823046">
        <w:rPr>
          <w:rFonts w:ascii="Sylfaen" w:hAnsi="Sylfaen" w:cs="Sylfaen"/>
          <w:shd w:val="clear" w:color="auto" w:fill="FFFFFF"/>
          <w:lang w:val="ka-GE"/>
        </w:rPr>
        <w:t>290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.8 მლნ ლარი - „ობლიგაცია სებ-სთვის და ღია ბაზრის ოპერაციებისათვის“ ნაწილში და 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823046">
        <w:rPr>
          <w:rFonts w:ascii="Sylfaen" w:hAnsi="Sylfaen"/>
          <w:szCs w:val="21"/>
          <w:shd w:val="clear" w:color="auto" w:fill="FFFFFF"/>
          <w:lang w:val="ka-GE"/>
        </w:rPr>
        <w:t>43</w:t>
      </w:r>
      <w:r w:rsidR="001C7199">
        <w:rPr>
          <w:rFonts w:ascii="Sylfaen" w:hAnsi="Sylfaen"/>
          <w:szCs w:val="21"/>
          <w:shd w:val="clear" w:color="auto" w:fill="FFFFFF"/>
          <w:lang w:val="ka-GE"/>
        </w:rPr>
        <w:t>.8</w:t>
      </w:r>
      <w:r w:rsidR="001C7199" w:rsidRPr="000F487B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Pr="00D63FD8">
        <w:rPr>
          <w:rFonts w:ascii="Sylfaen" w:hAnsi="Sylfaen"/>
          <w:color w:val="000000" w:themeColor="text1"/>
          <w:szCs w:val="21"/>
          <w:shd w:val="clear" w:color="auto" w:fill="FFFFFF"/>
          <w:lang w:val="ka-GE"/>
        </w:rPr>
        <w:t>მლნ ლარი.</w:t>
      </w:r>
    </w:p>
    <w:p w14:paraId="23841BE1" w14:textId="77777777"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1E2E459B" w14:textId="77777777"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14:paraId="70310DFE" w14:textId="77777777" w:rsidR="001C7199" w:rsidRDefault="001C7199" w:rsidP="001C719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C367E2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და 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>საბიუჯეტო ორგანიზაციების სესხის სახით არსებულ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>ი ვალის</w:t>
      </w:r>
      <w:r w:rsidRPr="00B2672E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ნაშ</w:t>
      </w:r>
      <w:r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თი </w:t>
      </w:r>
    </w:p>
    <w:p w14:paraId="24F2BC71" w14:textId="77777777" w:rsidR="00396821" w:rsidRPr="000F487B" w:rsidRDefault="00823046" w:rsidP="001C7199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2022</w:t>
      </w:r>
      <w:r w:rsidR="001C7199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31</w:t>
      </w:r>
      <w:r w:rsidR="001C7199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აგვისტოს</w:t>
      </w:r>
      <w:r w:rsidR="001C7199" w:rsidRPr="00140A25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1C7199" w:rsidRPr="00B2672E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მდგომარეობით</w:t>
      </w:r>
    </w:p>
    <w:p w14:paraId="0F33F593" w14:textId="77777777"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14:paraId="5760B68F" w14:textId="77777777" w:rsidR="00396821" w:rsidRPr="00B73E97" w:rsidRDefault="00396821" w:rsidP="002B6702">
      <w:pPr>
        <w:tabs>
          <w:tab w:val="left" w:pos="0"/>
        </w:tabs>
        <w:spacing w:after="0" w:line="240" w:lineRule="auto"/>
        <w:ind w:right="27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0F487B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0F487B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0F487B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0F487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</w:t>
      </w:r>
      <w:r w:rsidRPr="00B73E97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რი</w:t>
      </w:r>
    </w:p>
    <w:tbl>
      <w:tblPr>
        <w:tblStyle w:val="TableGrid"/>
        <w:tblW w:w="5000" w:type="pct"/>
        <w:jc w:val="center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493"/>
        <w:gridCol w:w="2540"/>
      </w:tblGrid>
      <w:tr w:rsidR="001C7199" w:rsidRPr="0040412C" w14:paraId="1A21709A" w14:textId="77777777" w:rsidTr="00EF07D7">
        <w:trPr>
          <w:trHeight w:val="343"/>
          <w:jc w:val="center"/>
        </w:trPr>
        <w:tc>
          <w:tcPr>
            <w:tcW w:w="3734" w:type="pct"/>
            <w:vAlign w:val="center"/>
            <w:hideMark/>
          </w:tcPr>
          <w:p w14:paraId="34486198" w14:textId="77777777" w:rsidR="001C7199" w:rsidRPr="0040412C" w:rsidRDefault="001C7199" w:rsidP="001C7199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სულ</w:t>
            </w:r>
          </w:p>
        </w:tc>
        <w:tc>
          <w:tcPr>
            <w:tcW w:w="1266" w:type="pct"/>
            <w:hideMark/>
          </w:tcPr>
          <w:p w14:paraId="57D4CF4C" w14:textId="77777777" w:rsidR="001C7199" w:rsidRPr="00823046" w:rsidRDefault="00823046" w:rsidP="00823046">
            <w:pPr>
              <w:jc w:val="right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6</w:t>
            </w:r>
            <w:r w:rsidR="001C7199" w:rsidRPr="0040412C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540</w:t>
            </w:r>
            <w:r w:rsidR="001C7199" w:rsidRPr="0040412C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970</w:t>
            </w:r>
            <w:r w:rsidR="001C7199" w:rsidRPr="0040412C">
              <w:rPr>
                <w:rFonts w:ascii="Sylfaen" w:hAnsi="Sylfaen" w:cstheme="minorHAnsi"/>
                <w:b/>
                <w:sz w:val="20"/>
                <w:szCs w:val="20"/>
              </w:rPr>
              <w:t>,</w:t>
            </w: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0</w:t>
            </w:r>
          </w:p>
        </w:tc>
      </w:tr>
      <w:tr w:rsidR="001C7199" w:rsidRPr="0040412C" w14:paraId="120FE641" w14:textId="77777777" w:rsidTr="00EF07D7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0FE97D32" w14:textId="77777777" w:rsidR="001C7199" w:rsidRPr="0040412C" w:rsidRDefault="001C7199" w:rsidP="001C7199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სახაზინო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266" w:type="pct"/>
            <w:hideMark/>
          </w:tcPr>
          <w:p w14:paraId="0B7491F4" w14:textId="77777777" w:rsidR="001C7199" w:rsidRPr="0040412C" w:rsidRDefault="00823046" w:rsidP="00823046">
            <w:pPr>
              <w:jc w:val="right"/>
              <w:rPr>
                <w:rFonts w:ascii="Sylfaen" w:hAnsi="Sylfaen" w:cstheme="minorHAnsi"/>
                <w:b/>
                <w:sz w:val="20"/>
                <w:szCs w:val="20"/>
              </w:rPr>
            </w:pP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6</w:t>
            </w:r>
            <w:r w:rsidR="001C7199" w:rsidRPr="0040412C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206</w:t>
            </w:r>
            <w:r w:rsidR="001C7199" w:rsidRPr="0040412C">
              <w:rPr>
                <w:rFonts w:ascii="Sylfaen" w:hAnsi="Sylfaen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352</w:t>
            </w:r>
            <w:r w:rsidR="001C7199" w:rsidRPr="0040412C">
              <w:rPr>
                <w:rFonts w:ascii="Sylfaen" w:hAnsi="Sylfaen" w:cstheme="minorHAnsi"/>
                <w:b/>
                <w:sz w:val="20"/>
                <w:szCs w:val="20"/>
              </w:rPr>
              <w:t>,0</w:t>
            </w:r>
          </w:p>
        </w:tc>
      </w:tr>
      <w:tr w:rsidR="001C7199" w:rsidRPr="0040412C" w14:paraId="6A5CF3C8" w14:textId="77777777" w:rsidTr="00EF07D7">
        <w:trPr>
          <w:trHeight w:val="288"/>
          <w:jc w:val="center"/>
        </w:trPr>
        <w:tc>
          <w:tcPr>
            <w:tcW w:w="3734" w:type="pct"/>
            <w:noWrap/>
            <w:vAlign w:val="center"/>
          </w:tcPr>
          <w:p w14:paraId="07011054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6</w:t>
            </w:r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თვის</w:t>
            </w:r>
            <w:proofErr w:type="spellEnd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ვადიანობის</w:t>
            </w:r>
            <w:proofErr w:type="spellEnd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სახაზინო</w:t>
            </w:r>
            <w:proofErr w:type="spellEnd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sz w:val="20"/>
                <w:szCs w:val="20"/>
              </w:rPr>
              <w:t>ვალდებულებები</w:t>
            </w:r>
            <w:proofErr w:type="spellEnd"/>
          </w:p>
        </w:tc>
        <w:tc>
          <w:tcPr>
            <w:tcW w:w="1266" w:type="pct"/>
          </w:tcPr>
          <w:p w14:paraId="4EDC0948" w14:textId="77777777" w:rsidR="001C7199" w:rsidRPr="0040412C" w:rsidRDefault="00823046" w:rsidP="001C7199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120</w:t>
            </w:r>
            <w:r w:rsidR="001C7199" w:rsidRPr="0040412C">
              <w:rPr>
                <w:rFonts w:ascii="Sylfaen" w:hAnsi="Sylfaen" w:cstheme="minorHAnsi"/>
                <w:sz w:val="20"/>
                <w:szCs w:val="20"/>
              </w:rPr>
              <w:t xml:space="preserve"> 000,0</w:t>
            </w:r>
          </w:p>
        </w:tc>
      </w:tr>
      <w:tr w:rsidR="001C7199" w:rsidRPr="0040412C" w14:paraId="591F1DC7" w14:textId="77777777" w:rsidTr="00EF07D7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0B013DB0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12 თვის ვადიანობის სახაზინო ვალდებულებები</w:t>
            </w:r>
          </w:p>
        </w:tc>
        <w:tc>
          <w:tcPr>
            <w:tcW w:w="1266" w:type="pct"/>
            <w:hideMark/>
          </w:tcPr>
          <w:p w14:paraId="49A85058" w14:textId="77777777" w:rsidR="001C7199" w:rsidRPr="0040412C" w:rsidRDefault="001C7199" w:rsidP="00823046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sz w:val="20"/>
                <w:szCs w:val="20"/>
              </w:rPr>
              <w:t>2</w:t>
            </w:r>
            <w:r w:rsidR="00823046">
              <w:rPr>
                <w:rFonts w:ascii="Sylfaen" w:hAnsi="Sylfaen" w:cstheme="minorHAnsi"/>
                <w:sz w:val="20"/>
                <w:szCs w:val="20"/>
                <w:lang w:val="ka-GE"/>
              </w:rPr>
              <w:t>80</w:t>
            </w:r>
            <w:r w:rsidRPr="0040412C">
              <w:rPr>
                <w:rFonts w:ascii="Sylfaen" w:hAnsi="Sylfaen" w:cstheme="minorHAnsi"/>
                <w:sz w:val="20"/>
                <w:szCs w:val="20"/>
              </w:rPr>
              <w:t xml:space="preserve"> 000,0</w:t>
            </w:r>
          </w:p>
        </w:tc>
      </w:tr>
      <w:tr w:rsidR="001C7199" w:rsidRPr="0040412C" w14:paraId="085C0F65" w14:textId="77777777" w:rsidTr="00EF07D7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19C64505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 xml:space="preserve">2 წლის ვადიანობის სახაზინო ობლიგაციები </w:t>
            </w:r>
          </w:p>
        </w:tc>
        <w:tc>
          <w:tcPr>
            <w:tcW w:w="1266" w:type="pct"/>
            <w:hideMark/>
          </w:tcPr>
          <w:p w14:paraId="66528F9B" w14:textId="77777777" w:rsidR="001C7199" w:rsidRPr="0040412C" w:rsidRDefault="00823046" w:rsidP="00823046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1 22</w:t>
            </w:r>
            <w:r w:rsidR="001C7199" w:rsidRPr="0040412C">
              <w:rPr>
                <w:rFonts w:ascii="Sylfaen" w:hAnsi="Sylfaen" w:cstheme="minorHAnsi"/>
                <w:sz w:val="20"/>
                <w:szCs w:val="20"/>
              </w:rPr>
              <w:t>0 000,0</w:t>
            </w:r>
          </w:p>
        </w:tc>
      </w:tr>
      <w:tr w:rsidR="001C7199" w:rsidRPr="0040412C" w14:paraId="7CAB85A5" w14:textId="77777777" w:rsidTr="00EF07D7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14:paraId="4EC74040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5 წლის ვადიანობის სახაზინო ობლიგაციები</w:t>
            </w:r>
          </w:p>
        </w:tc>
        <w:tc>
          <w:tcPr>
            <w:tcW w:w="1266" w:type="pct"/>
            <w:hideMark/>
          </w:tcPr>
          <w:p w14:paraId="4CF8B7AF" w14:textId="77777777" w:rsidR="001C7199" w:rsidRPr="0040412C" w:rsidRDefault="00823046" w:rsidP="00823046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  <w:lang w:val="ka-GE"/>
              </w:rPr>
              <w:t>3 215 784</w:t>
            </w:r>
            <w:r w:rsidR="001C7199" w:rsidRPr="0040412C">
              <w:rPr>
                <w:rFonts w:ascii="Sylfaen" w:hAnsi="Sylfaen" w:cstheme="minorHAnsi"/>
                <w:sz w:val="20"/>
                <w:szCs w:val="20"/>
              </w:rPr>
              <w:t>,0</w:t>
            </w:r>
          </w:p>
        </w:tc>
      </w:tr>
      <w:tr w:rsidR="001C7199" w:rsidRPr="0040412C" w14:paraId="244A0BD2" w14:textId="77777777" w:rsidTr="00EF07D7">
        <w:trPr>
          <w:trHeight w:val="353"/>
          <w:jc w:val="center"/>
        </w:trPr>
        <w:tc>
          <w:tcPr>
            <w:tcW w:w="3734" w:type="pct"/>
            <w:noWrap/>
            <w:vAlign w:val="center"/>
            <w:hideMark/>
          </w:tcPr>
          <w:p w14:paraId="5B32F94F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10 წლის ვადიანობის სახაზინო ობლიგაციები</w:t>
            </w:r>
          </w:p>
        </w:tc>
        <w:tc>
          <w:tcPr>
            <w:tcW w:w="1266" w:type="pct"/>
            <w:hideMark/>
          </w:tcPr>
          <w:p w14:paraId="4D933AF8" w14:textId="77777777" w:rsidR="001C7199" w:rsidRPr="0040412C" w:rsidRDefault="001C7199" w:rsidP="00823046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sz w:val="20"/>
                <w:szCs w:val="20"/>
              </w:rPr>
              <w:t>1 3</w:t>
            </w:r>
            <w:r w:rsidR="00823046">
              <w:rPr>
                <w:rFonts w:ascii="Sylfaen" w:hAnsi="Sylfaen" w:cstheme="minorHAnsi"/>
                <w:sz w:val="20"/>
                <w:szCs w:val="20"/>
                <w:lang w:val="ka-GE"/>
              </w:rPr>
              <w:t>7</w:t>
            </w:r>
            <w:r w:rsidRPr="0040412C">
              <w:rPr>
                <w:rFonts w:ascii="Sylfaen" w:hAnsi="Sylfaen" w:cstheme="minorHAnsi"/>
                <w:sz w:val="20"/>
                <w:szCs w:val="20"/>
              </w:rPr>
              <w:t>0 568,0</w:t>
            </w:r>
          </w:p>
        </w:tc>
      </w:tr>
      <w:tr w:rsidR="001C7199" w:rsidRPr="0040412C" w14:paraId="778115E4" w14:textId="77777777" w:rsidTr="00EF07D7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47B434F4" w14:textId="77777777" w:rsidR="001C7199" w:rsidRPr="0040412C" w:rsidRDefault="001C7199" w:rsidP="001C7199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სხვა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ფასიანი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ქაღალდები</w:t>
            </w:r>
            <w:proofErr w:type="spellEnd"/>
          </w:p>
        </w:tc>
        <w:tc>
          <w:tcPr>
            <w:tcW w:w="1266" w:type="pct"/>
          </w:tcPr>
          <w:p w14:paraId="67606149" w14:textId="77777777" w:rsidR="001C7199" w:rsidRPr="0040412C" w:rsidRDefault="00823046" w:rsidP="001C7199">
            <w:pPr>
              <w:jc w:val="right"/>
              <w:rPr>
                <w:rFonts w:ascii="Sylfaen" w:hAnsi="Sylfaen" w:cstheme="minorHAnsi"/>
                <w:b/>
                <w:sz w:val="20"/>
                <w:szCs w:val="20"/>
              </w:rPr>
            </w:pP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290</w:t>
            </w:r>
            <w:r w:rsidR="001C7199" w:rsidRPr="0040412C">
              <w:rPr>
                <w:rFonts w:ascii="Sylfaen" w:hAnsi="Sylfaen" w:cstheme="minorHAnsi"/>
                <w:b/>
                <w:sz w:val="20"/>
                <w:szCs w:val="20"/>
              </w:rPr>
              <w:t xml:space="preserve"> 846,0</w:t>
            </w:r>
          </w:p>
        </w:tc>
      </w:tr>
      <w:tr w:rsidR="001C7199" w:rsidRPr="0040412C" w14:paraId="5A1B07BC" w14:textId="77777777" w:rsidTr="00EF07D7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2E31CD02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ობლიგაცია სებ-სთვის</w:t>
            </w:r>
          </w:p>
        </w:tc>
        <w:tc>
          <w:tcPr>
            <w:tcW w:w="1266" w:type="pct"/>
            <w:hideMark/>
          </w:tcPr>
          <w:p w14:paraId="47927EE6" w14:textId="77777777" w:rsidR="001C7199" w:rsidRPr="0040412C" w:rsidRDefault="001C7199" w:rsidP="00823046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 w:rsidRPr="0040412C">
              <w:rPr>
                <w:rFonts w:ascii="Sylfaen" w:hAnsi="Sylfaen" w:cstheme="minorHAnsi"/>
                <w:sz w:val="20"/>
                <w:szCs w:val="20"/>
              </w:rPr>
              <w:t>1</w:t>
            </w:r>
            <w:r w:rsidR="00823046">
              <w:rPr>
                <w:rFonts w:ascii="Sylfaen" w:hAnsi="Sylfaen" w:cstheme="minorHAnsi"/>
                <w:sz w:val="20"/>
                <w:szCs w:val="20"/>
                <w:lang w:val="ka-GE"/>
              </w:rPr>
              <w:t>2</w:t>
            </w:r>
            <w:r w:rsidRPr="0040412C">
              <w:rPr>
                <w:rFonts w:ascii="Sylfaen" w:hAnsi="Sylfaen" w:cstheme="minorHAnsi"/>
                <w:sz w:val="20"/>
                <w:szCs w:val="20"/>
              </w:rPr>
              <w:t>0 846,0</w:t>
            </w:r>
          </w:p>
        </w:tc>
      </w:tr>
      <w:tr w:rsidR="001C7199" w:rsidRPr="0040412C" w14:paraId="15ED1E33" w14:textId="77777777" w:rsidTr="00EF07D7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14:paraId="5A048A64" w14:textId="77777777" w:rsidR="001C7199" w:rsidRPr="0040412C" w:rsidRDefault="001C7199" w:rsidP="001C7199">
            <w:pPr>
              <w:ind w:left="341"/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</w:pPr>
            <w:r w:rsidRPr="0040412C">
              <w:rPr>
                <w:rFonts w:ascii="Sylfaen" w:eastAsia="Times New Roman" w:hAnsi="Sylfaen" w:cstheme="minorHAnsi"/>
                <w:sz w:val="20"/>
                <w:szCs w:val="20"/>
                <w:lang w:val="ka-GE"/>
              </w:rPr>
              <w:t>ობლიგაციები ღია ბაზრის ოპერაციებისთვის</w:t>
            </w:r>
          </w:p>
        </w:tc>
        <w:tc>
          <w:tcPr>
            <w:tcW w:w="1266" w:type="pct"/>
            <w:hideMark/>
          </w:tcPr>
          <w:p w14:paraId="7B3E0906" w14:textId="77777777" w:rsidR="001C7199" w:rsidRPr="0040412C" w:rsidRDefault="00823046" w:rsidP="001C7199">
            <w:pPr>
              <w:jc w:val="right"/>
              <w:rPr>
                <w:rFonts w:ascii="Sylfaen" w:hAnsi="Sylfaen" w:cstheme="minorHAnsi"/>
                <w:sz w:val="20"/>
                <w:szCs w:val="20"/>
              </w:rPr>
            </w:pPr>
            <w:r>
              <w:rPr>
                <w:rFonts w:ascii="Sylfaen" w:hAnsi="Sylfaen" w:cstheme="minorHAnsi"/>
                <w:sz w:val="20"/>
                <w:szCs w:val="20"/>
              </w:rPr>
              <w:t>17</w:t>
            </w:r>
            <w:r w:rsidR="001C7199" w:rsidRPr="0040412C">
              <w:rPr>
                <w:rFonts w:ascii="Sylfaen" w:hAnsi="Sylfaen" w:cstheme="minorHAnsi"/>
                <w:sz w:val="20"/>
                <w:szCs w:val="20"/>
              </w:rPr>
              <w:t>0 000,0</w:t>
            </w:r>
          </w:p>
        </w:tc>
      </w:tr>
      <w:tr w:rsidR="001C7199" w:rsidRPr="0040412C" w14:paraId="1148EAB9" w14:textId="77777777" w:rsidTr="00EF07D7">
        <w:trPr>
          <w:trHeight w:val="288"/>
          <w:jc w:val="center"/>
        </w:trPr>
        <w:tc>
          <w:tcPr>
            <w:tcW w:w="3734" w:type="pct"/>
            <w:vAlign w:val="center"/>
          </w:tcPr>
          <w:p w14:paraId="44AC371C" w14:textId="77777777" w:rsidR="001C7199" w:rsidRPr="0040412C" w:rsidRDefault="001C7199" w:rsidP="001C7199">
            <w:pPr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</w:pP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საბიუჯეტო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ორგანიზაციების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სესხის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სახით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არსებულ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ი ვალის</w:t>
            </w:r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</w:rPr>
              <w:t>ნაშ</w:t>
            </w:r>
            <w:proofErr w:type="spellEnd"/>
            <w:r w:rsidRPr="0040412C">
              <w:rPr>
                <w:rFonts w:ascii="Sylfaen" w:eastAsia="Times New Roman" w:hAnsi="Sylfaen" w:cstheme="minorHAnsi"/>
                <w:b/>
                <w:bCs/>
                <w:sz w:val="20"/>
                <w:szCs w:val="20"/>
                <w:lang w:val="ka-GE"/>
              </w:rPr>
              <w:t>თი</w:t>
            </w:r>
          </w:p>
        </w:tc>
        <w:tc>
          <w:tcPr>
            <w:tcW w:w="1266" w:type="pct"/>
          </w:tcPr>
          <w:p w14:paraId="1DCB09EF" w14:textId="77777777" w:rsidR="001C7199" w:rsidRPr="00823046" w:rsidRDefault="00823046" w:rsidP="001C7199">
            <w:pPr>
              <w:jc w:val="right"/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43 772.0</w:t>
            </w:r>
          </w:p>
        </w:tc>
      </w:tr>
    </w:tbl>
    <w:p w14:paraId="356166F7" w14:textId="77777777" w:rsidR="00396821" w:rsidRPr="009E10CF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shd w:val="clear" w:color="auto" w:fill="FFFFFF"/>
        </w:rPr>
      </w:pPr>
    </w:p>
    <w:p w14:paraId="74B7EE90" w14:textId="0A5D447C" w:rsidR="00D63FD8" w:rsidRPr="00D63FD8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</w:rPr>
      </w:pPr>
      <w:r w:rsidRPr="00D521CF">
        <w:rPr>
          <w:rFonts w:ascii="Sylfaen" w:hAnsi="Sylfaen"/>
          <w:lang w:val="ka-GE"/>
        </w:rPr>
        <w:t>202</w:t>
      </w:r>
      <w:r w:rsidR="00823046">
        <w:rPr>
          <w:rFonts w:ascii="Sylfaen" w:hAnsi="Sylfaen"/>
        </w:rPr>
        <w:t>3</w:t>
      </w:r>
      <w:r w:rsidRPr="00D521CF">
        <w:rPr>
          <w:lang w:val="ka-GE"/>
        </w:rPr>
        <w:t xml:space="preserve"> </w:t>
      </w:r>
      <w:proofErr w:type="spellStart"/>
      <w:r w:rsidRPr="00D521CF">
        <w:rPr>
          <w:rFonts w:ascii="Sylfaen" w:hAnsi="Sylfaen" w:cs="Sylfaen"/>
        </w:rPr>
        <w:t>წლის</w:t>
      </w:r>
      <w:proofErr w:type="spellEnd"/>
      <w:r w:rsidRPr="00D521CF">
        <w:t xml:space="preserve"> </w:t>
      </w:r>
      <w:proofErr w:type="spellStart"/>
      <w:r w:rsidRPr="00D521CF">
        <w:rPr>
          <w:rFonts w:ascii="Sylfaen" w:hAnsi="Sylfaen" w:cs="Sylfaen"/>
        </w:rPr>
        <w:t>სახელმწიფო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Pr="00D521CF">
        <w:rPr>
          <w:rFonts w:ascii="Sylfaen" w:hAnsi="Sylfaen" w:cs="Sylfaen"/>
        </w:rPr>
        <w:t>ბიუჯეტი</w:t>
      </w:r>
      <w:proofErr w:type="spellEnd"/>
      <w:r w:rsidR="00EF07D7">
        <w:rPr>
          <w:rFonts w:ascii="Sylfaen" w:hAnsi="Sylfaen" w:cs="Sylfaen"/>
          <w:lang w:val="ka-GE"/>
        </w:rPr>
        <w:t xml:space="preserve"> </w:t>
      </w:r>
      <w:proofErr w:type="spellStart"/>
      <w:r w:rsidRPr="00D521CF">
        <w:rPr>
          <w:rFonts w:ascii="Sylfaen" w:hAnsi="Sylfaen" w:cs="Sylfaen"/>
        </w:rPr>
        <w:t>ითვალისწინებს</w:t>
      </w:r>
      <w:proofErr w:type="spellEnd"/>
      <w:r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სახაზინო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ვალდებულებებისა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და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სახაზინო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ობლიგაციების</w:t>
      </w:r>
      <w:proofErr w:type="spellEnd"/>
      <w:r w:rsidR="00103D04" w:rsidRPr="00D521CF">
        <w:rPr>
          <w:rFonts w:ascii="Sylfaen" w:hAnsi="Sylfaen"/>
        </w:rPr>
        <w:t xml:space="preserve"> </w:t>
      </w:r>
      <w:proofErr w:type="spellStart"/>
      <w:r w:rsidR="00103D04" w:rsidRPr="00D521CF">
        <w:rPr>
          <w:rFonts w:ascii="Sylfaen" w:hAnsi="Sylfaen"/>
        </w:rPr>
        <w:t>გამოშვებ</w:t>
      </w:r>
      <w:proofErr w:type="spellEnd"/>
      <w:r w:rsidR="00E60B55" w:rsidRPr="00D521CF">
        <w:rPr>
          <w:rFonts w:ascii="Sylfaen" w:hAnsi="Sylfaen"/>
          <w:lang w:val="ka-GE"/>
        </w:rPr>
        <w:t xml:space="preserve">იდან მიღებულ საპროგნოზო </w:t>
      </w:r>
      <w:r w:rsidR="00E60B55" w:rsidRPr="00A06F40">
        <w:rPr>
          <w:rFonts w:ascii="Sylfaen" w:hAnsi="Sylfaen"/>
          <w:lang w:val="ka-GE"/>
        </w:rPr>
        <w:t>თანხას</w:t>
      </w:r>
      <w:r w:rsidR="00823046" w:rsidRPr="00A06F40">
        <w:rPr>
          <w:rFonts w:ascii="Sylfaen" w:hAnsi="Sylfaen"/>
          <w:lang w:val="ka-GE"/>
        </w:rPr>
        <w:t xml:space="preserve"> </w:t>
      </w:r>
      <w:r w:rsidR="00B13D24" w:rsidRPr="00A06F40">
        <w:rPr>
          <w:rFonts w:ascii="Sylfaen" w:hAnsi="Sylfaen"/>
        </w:rPr>
        <w:t>3</w:t>
      </w:r>
      <w:r w:rsidR="00823046" w:rsidRPr="00A06F40">
        <w:rPr>
          <w:rFonts w:ascii="Sylfaen" w:hAnsi="Sylfaen"/>
          <w:lang w:val="ka-GE"/>
        </w:rPr>
        <w:t xml:space="preserve"> </w:t>
      </w:r>
      <w:r w:rsidR="008B6238">
        <w:rPr>
          <w:rFonts w:ascii="Sylfaen" w:hAnsi="Sylfaen"/>
          <w:lang w:val="ka-GE"/>
        </w:rPr>
        <w:t>1</w:t>
      </w:r>
      <w:r w:rsidR="00D521CF" w:rsidRPr="00A06F40">
        <w:rPr>
          <w:rFonts w:ascii="Sylfaen" w:hAnsi="Sylfaen"/>
          <w:lang w:val="ka-GE"/>
        </w:rPr>
        <w:t>0</w:t>
      </w:r>
      <w:r w:rsidR="00103D04" w:rsidRPr="00A06F40">
        <w:rPr>
          <w:rFonts w:ascii="Sylfaen" w:hAnsi="Sylfaen"/>
          <w:lang w:val="ka-GE"/>
        </w:rPr>
        <w:t>0 000.0 ათასი ლარის ოდენობით</w:t>
      </w:r>
      <w:r w:rsidR="00D63FD8" w:rsidRPr="00A06F40">
        <w:rPr>
          <w:rFonts w:ascii="Sylfaen" w:hAnsi="Sylfaen"/>
          <w:lang w:val="ka-GE"/>
        </w:rPr>
        <w:t xml:space="preserve"> და</w:t>
      </w:r>
      <w:r w:rsidR="00103D04" w:rsidRPr="00A06F40">
        <w:rPr>
          <w:rFonts w:ascii="Sylfaen" w:hAnsi="Sylfaen"/>
          <w:lang w:val="ka-GE"/>
        </w:rPr>
        <w:t xml:space="preserve"> </w:t>
      </w:r>
      <w:proofErr w:type="spellStart"/>
      <w:r w:rsidRPr="00A06F40">
        <w:rPr>
          <w:rFonts w:ascii="Sylfaen" w:hAnsi="Sylfaen" w:cs="Sylfaen"/>
        </w:rPr>
        <w:t>საშინაო</w:t>
      </w:r>
      <w:proofErr w:type="spellEnd"/>
      <w:r w:rsidRPr="00A06F40">
        <w:rPr>
          <w:rFonts w:ascii="Sylfaen" w:hAnsi="Sylfaen"/>
        </w:rPr>
        <w:t xml:space="preserve"> </w:t>
      </w:r>
      <w:proofErr w:type="spellStart"/>
      <w:r w:rsidRPr="00A06F40">
        <w:rPr>
          <w:rFonts w:ascii="Sylfaen" w:hAnsi="Sylfaen" w:cs="Sylfaen"/>
        </w:rPr>
        <w:t>ვალდებულებების</w:t>
      </w:r>
      <w:proofErr w:type="spellEnd"/>
      <w:r w:rsidRPr="00A06F40">
        <w:rPr>
          <w:rFonts w:ascii="Sylfaen" w:hAnsi="Sylfaen"/>
        </w:rPr>
        <w:t xml:space="preserve"> </w:t>
      </w:r>
      <w:proofErr w:type="spellStart"/>
      <w:r w:rsidRPr="00A06F40">
        <w:rPr>
          <w:rFonts w:ascii="Sylfaen" w:hAnsi="Sylfaen" w:cs="Sylfaen"/>
        </w:rPr>
        <w:t>მოსალოდნელ</w:t>
      </w:r>
      <w:proofErr w:type="spellEnd"/>
      <w:r w:rsidRPr="00A06F40">
        <w:rPr>
          <w:rFonts w:ascii="Sylfaen" w:hAnsi="Sylfaen"/>
        </w:rPr>
        <w:t xml:space="preserve"> </w:t>
      </w:r>
      <w:proofErr w:type="spellStart"/>
      <w:r w:rsidRPr="00A06F40">
        <w:rPr>
          <w:rFonts w:ascii="Sylfaen" w:hAnsi="Sylfaen" w:cs="Sylfaen"/>
        </w:rPr>
        <w:t>კლებას</w:t>
      </w:r>
      <w:proofErr w:type="spellEnd"/>
      <w:r w:rsidRPr="00A06F40">
        <w:rPr>
          <w:rFonts w:ascii="Sylfaen" w:hAnsi="Sylfaen"/>
        </w:rPr>
        <w:t xml:space="preserve"> </w:t>
      </w:r>
      <w:r w:rsidRPr="00A06F40">
        <w:rPr>
          <w:rFonts w:ascii="Sylfaen" w:hAnsi="Sylfaen"/>
          <w:lang w:val="ka-GE"/>
        </w:rPr>
        <w:t>1</w:t>
      </w:r>
      <w:r w:rsidR="00C65638" w:rsidRPr="00A06F40">
        <w:rPr>
          <w:rFonts w:ascii="Sylfaen" w:hAnsi="Sylfaen"/>
        </w:rPr>
        <w:t xml:space="preserve"> </w:t>
      </w:r>
      <w:r w:rsidR="00B13D24" w:rsidRPr="00A06F40">
        <w:rPr>
          <w:rFonts w:ascii="Sylfaen" w:hAnsi="Sylfaen"/>
        </w:rPr>
        <w:t>7</w:t>
      </w:r>
      <w:r w:rsidR="00D521CF" w:rsidRPr="00A06F40">
        <w:rPr>
          <w:rFonts w:ascii="Sylfaen" w:hAnsi="Sylfaen"/>
          <w:lang w:val="ka-GE"/>
        </w:rPr>
        <w:t>0</w:t>
      </w:r>
      <w:r w:rsidR="008170FC" w:rsidRPr="00A06F40">
        <w:rPr>
          <w:rFonts w:ascii="Sylfaen" w:hAnsi="Sylfaen"/>
        </w:rPr>
        <w:t>0</w:t>
      </w:r>
      <w:r w:rsidR="008170FC" w:rsidRPr="00A06F40">
        <w:rPr>
          <w:rFonts w:ascii="Sylfaen" w:hAnsi="Sylfaen"/>
          <w:lang w:val="ka-GE"/>
        </w:rPr>
        <w:t xml:space="preserve"> </w:t>
      </w:r>
      <w:r w:rsidRPr="00A06F40">
        <w:rPr>
          <w:rFonts w:ascii="Sylfaen" w:hAnsi="Sylfaen"/>
          <w:lang w:val="ka-GE"/>
        </w:rPr>
        <w:t>000</w:t>
      </w:r>
      <w:r w:rsidRPr="00A06F40">
        <w:rPr>
          <w:rFonts w:ascii="Sylfaen" w:hAnsi="Sylfaen"/>
        </w:rPr>
        <w:t xml:space="preserve">.0 </w:t>
      </w:r>
      <w:proofErr w:type="spellStart"/>
      <w:r w:rsidRPr="00A06F40">
        <w:rPr>
          <w:rFonts w:ascii="Sylfaen" w:hAnsi="Sylfaen" w:cs="Sylfaen"/>
        </w:rPr>
        <w:t>ათასი</w:t>
      </w:r>
      <w:proofErr w:type="spellEnd"/>
      <w:r w:rsidRPr="00A06F40">
        <w:rPr>
          <w:rFonts w:ascii="Sylfaen" w:hAnsi="Sylfaen"/>
        </w:rPr>
        <w:t xml:space="preserve"> </w:t>
      </w:r>
      <w:proofErr w:type="spellStart"/>
      <w:r w:rsidRPr="00A06F40">
        <w:rPr>
          <w:rFonts w:ascii="Sylfaen" w:hAnsi="Sylfaen" w:cs="Sylfaen"/>
        </w:rPr>
        <w:t>ლარის</w:t>
      </w:r>
      <w:proofErr w:type="spellEnd"/>
      <w:r w:rsidRPr="00A06F40">
        <w:rPr>
          <w:rFonts w:ascii="Sylfaen" w:hAnsi="Sylfaen"/>
        </w:rPr>
        <w:t xml:space="preserve"> </w:t>
      </w:r>
      <w:proofErr w:type="spellStart"/>
      <w:r w:rsidRPr="00A06F40">
        <w:rPr>
          <w:rFonts w:ascii="Sylfaen" w:hAnsi="Sylfaen" w:cs="Sylfaen"/>
        </w:rPr>
        <w:t>ოდენობით</w:t>
      </w:r>
      <w:proofErr w:type="spellEnd"/>
      <w:r w:rsidR="008170FC" w:rsidRPr="00A06F40">
        <w:rPr>
          <w:rFonts w:ascii="Sylfaen" w:hAnsi="Sylfaen"/>
          <w:lang w:val="ka-GE"/>
        </w:rPr>
        <w:t>. შესაბამისად</w:t>
      </w:r>
      <w:r w:rsidR="00823046" w:rsidRPr="00A06F40">
        <w:rPr>
          <w:rFonts w:ascii="Sylfaen" w:hAnsi="Sylfaen"/>
          <w:lang w:val="ka-GE"/>
        </w:rPr>
        <w:t>, 2023</w:t>
      </w:r>
      <w:r w:rsidR="008170FC" w:rsidRPr="00A06F40">
        <w:rPr>
          <w:rFonts w:ascii="Sylfaen" w:hAnsi="Sylfaen"/>
          <w:lang w:val="ka-GE"/>
        </w:rPr>
        <w:t xml:space="preserve"> წლის ბოლოს მდგო</w:t>
      </w:r>
      <w:r w:rsidR="00D63FD8" w:rsidRPr="00A06F40">
        <w:rPr>
          <w:rFonts w:ascii="Sylfaen" w:hAnsi="Sylfaen"/>
          <w:lang w:val="ka-GE"/>
        </w:rPr>
        <w:t>მ</w:t>
      </w:r>
      <w:r w:rsidR="008170FC" w:rsidRPr="00A06F40">
        <w:rPr>
          <w:rFonts w:ascii="Sylfaen" w:hAnsi="Sylfaen"/>
          <w:lang w:val="ka-GE"/>
        </w:rPr>
        <w:t xml:space="preserve">არეობით საშინაო ვალდებულებების წმინდა ზრდის საპროგნოზო მაჩვენებელი შეადგენს 1 </w:t>
      </w:r>
      <w:r w:rsidR="008B6238">
        <w:rPr>
          <w:rFonts w:ascii="Sylfaen" w:hAnsi="Sylfaen"/>
          <w:lang w:val="ka-GE"/>
        </w:rPr>
        <w:t>4</w:t>
      </w:r>
      <w:r w:rsidR="008170FC" w:rsidRPr="00A06F40">
        <w:rPr>
          <w:rFonts w:ascii="Sylfaen" w:hAnsi="Sylfaen"/>
          <w:lang w:val="ka-GE"/>
        </w:rPr>
        <w:t>00 000.0 ათას ლარს</w:t>
      </w:r>
      <w:r w:rsidR="00823046" w:rsidRPr="00A06F40">
        <w:rPr>
          <w:rFonts w:ascii="Sylfaen" w:hAnsi="Sylfaen"/>
          <w:lang w:val="ka-GE"/>
        </w:rPr>
        <w:t xml:space="preserve"> (</w:t>
      </w:r>
      <w:r w:rsidR="00C65638" w:rsidRPr="00A06F40">
        <w:rPr>
          <w:rFonts w:ascii="Sylfaen" w:hAnsi="Sylfaen"/>
        </w:rPr>
        <w:t>3</w:t>
      </w:r>
      <w:r w:rsidR="00C65638" w:rsidRPr="00A06F40">
        <w:rPr>
          <w:rFonts w:ascii="Sylfaen" w:hAnsi="Sylfaen"/>
          <w:lang w:val="ka-GE"/>
        </w:rPr>
        <w:t xml:space="preserve"> </w:t>
      </w:r>
      <w:r w:rsidR="008B6238">
        <w:rPr>
          <w:rFonts w:ascii="Sylfaen" w:hAnsi="Sylfaen"/>
          <w:lang w:val="ka-GE"/>
        </w:rPr>
        <w:t>1</w:t>
      </w:r>
      <w:r w:rsidR="00C65638" w:rsidRPr="00A06F40">
        <w:rPr>
          <w:rFonts w:ascii="Sylfaen" w:hAnsi="Sylfaen"/>
          <w:lang w:val="ka-GE"/>
        </w:rPr>
        <w:t xml:space="preserve">00 000.0 </w:t>
      </w:r>
      <w:r w:rsidR="008170FC" w:rsidRPr="00A06F40">
        <w:rPr>
          <w:rFonts w:ascii="Sylfaen" w:hAnsi="Sylfaen"/>
          <w:lang w:val="ka-GE"/>
        </w:rPr>
        <w:t xml:space="preserve">– </w:t>
      </w:r>
      <w:r w:rsidR="00C65638" w:rsidRPr="00A06F40">
        <w:rPr>
          <w:rFonts w:ascii="Sylfaen" w:hAnsi="Sylfaen"/>
          <w:lang w:val="ka-GE"/>
        </w:rPr>
        <w:t>1</w:t>
      </w:r>
      <w:r w:rsidR="00C65638" w:rsidRPr="00A06F40">
        <w:rPr>
          <w:rFonts w:ascii="Sylfaen" w:hAnsi="Sylfaen"/>
        </w:rPr>
        <w:t xml:space="preserve"> 7</w:t>
      </w:r>
      <w:r w:rsidR="00C65638" w:rsidRPr="00A06F40">
        <w:rPr>
          <w:rFonts w:ascii="Sylfaen" w:hAnsi="Sylfaen"/>
          <w:lang w:val="ka-GE"/>
        </w:rPr>
        <w:t>0</w:t>
      </w:r>
      <w:r w:rsidR="00C65638" w:rsidRPr="00A06F40">
        <w:rPr>
          <w:rFonts w:ascii="Sylfaen" w:hAnsi="Sylfaen"/>
        </w:rPr>
        <w:t>0</w:t>
      </w:r>
      <w:r w:rsidR="00C65638" w:rsidRPr="00A06F40">
        <w:rPr>
          <w:rFonts w:ascii="Sylfaen" w:hAnsi="Sylfaen"/>
          <w:lang w:val="ka-GE"/>
        </w:rPr>
        <w:t xml:space="preserve"> 000</w:t>
      </w:r>
      <w:r w:rsidR="00C65638" w:rsidRPr="00A06F40">
        <w:rPr>
          <w:rFonts w:ascii="Sylfaen" w:hAnsi="Sylfaen"/>
        </w:rPr>
        <w:t>.0</w:t>
      </w:r>
      <w:r w:rsidR="00D63FD8" w:rsidRPr="00A06F40">
        <w:rPr>
          <w:rFonts w:ascii="Sylfaen" w:hAnsi="Sylfaen"/>
          <w:lang w:val="ka-GE"/>
        </w:rPr>
        <w:t>).</w:t>
      </w:r>
    </w:p>
    <w:p w14:paraId="4F480C8A" w14:textId="517B45D5" w:rsidR="00B404A9" w:rsidRPr="008739E5" w:rsidRDefault="00D63FD8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D63FD8">
        <w:rPr>
          <w:rFonts w:ascii="Sylfaen" w:hAnsi="Sylfaen"/>
          <w:lang w:val="ka-GE"/>
        </w:rPr>
        <w:t>202</w:t>
      </w:r>
      <w:r w:rsidR="00987794">
        <w:rPr>
          <w:rFonts w:ascii="Sylfaen" w:hAnsi="Sylfaen"/>
          <w:lang w:val="ka-GE"/>
        </w:rPr>
        <w:t>3</w:t>
      </w:r>
      <w:r w:rsidRPr="00D63FD8">
        <w:rPr>
          <w:rFonts w:ascii="Sylfaen" w:hAnsi="Sylfaen"/>
          <w:lang w:val="ka-GE"/>
        </w:rPr>
        <w:t xml:space="preserve"> წლის </w:t>
      </w:r>
      <w:proofErr w:type="spellStart"/>
      <w:r w:rsidRPr="00D63FD8">
        <w:rPr>
          <w:rFonts w:ascii="Sylfaen" w:hAnsi="Sylfaen" w:cs="Sylfaen"/>
        </w:rPr>
        <w:t>სახელმწიფო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ბიუჯეტი</w:t>
      </w:r>
      <w:proofErr w:type="spellEnd"/>
      <w:r w:rsidR="00EF07D7">
        <w:rPr>
          <w:rFonts w:ascii="Sylfaen" w:hAnsi="Sylfaen" w:cs="Sylfaen"/>
          <w:lang w:val="ka-GE"/>
        </w:rPr>
        <w:t xml:space="preserve"> </w:t>
      </w:r>
      <w:r w:rsidRPr="00D63FD8">
        <w:rPr>
          <w:rFonts w:ascii="Sylfaen" w:hAnsi="Sylfaen"/>
          <w:lang w:val="ka-GE"/>
        </w:rPr>
        <w:t xml:space="preserve">ასევე </w:t>
      </w:r>
      <w:proofErr w:type="spellStart"/>
      <w:r w:rsidRPr="00D63FD8">
        <w:rPr>
          <w:rFonts w:ascii="Sylfaen" w:hAnsi="Sylfaen" w:cs="Sylfaen"/>
        </w:rPr>
        <w:t>ითვალისწინებს</w:t>
      </w:r>
      <w:proofErr w:type="spellEnd"/>
      <w:r w:rsidRPr="00D63FD8">
        <w:rPr>
          <w:rFonts w:ascii="Sylfaen" w:hAnsi="Sylfaen" w:cs="Sylfaen"/>
          <w:lang w:val="ka-GE"/>
        </w:rPr>
        <w:t xml:space="preserve"> </w:t>
      </w:r>
      <w:proofErr w:type="spellStart"/>
      <w:r w:rsidRPr="00D63FD8">
        <w:rPr>
          <w:rFonts w:ascii="Sylfaen" w:hAnsi="Sylfaen" w:cs="Sylfaen"/>
        </w:rPr>
        <w:t>სახელმწიფო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ობლიგაციების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ძირითადი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თანხის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დაფარვას</w:t>
      </w:r>
      <w:proofErr w:type="spellEnd"/>
      <w:r w:rsidRPr="00D63FD8">
        <w:rPr>
          <w:rFonts w:ascii="Sylfaen" w:hAnsi="Sylfaen"/>
        </w:rPr>
        <w:t xml:space="preserve"> (</w:t>
      </w:r>
      <w:proofErr w:type="spellStart"/>
      <w:r w:rsidRPr="00D63FD8">
        <w:rPr>
          <w:rFonts w:ascii="Sylfaen" w:hAnsi="Sylfaen" w:cs="Sylfaen"/>
        </w:rPr>
        <w:t>სებ</w:t>
      </w:r>
      <w:r w:rsidRPr="00D63FD8">
        <w:rPr>
          <w:rFonts w:ascii="Sylfaen" w:hAnsi="Sylfaen"/>
        </w:rPr>
        <w:t>-</w:t>
      </w:r>
      <w:r w:rsidRPr="00D63FD8">
        <w:rPr>
          <w:rFonts w:ascii="Sylfaen" w:hAnsi="Sylfaen" w:cs="Sylfaen"/>
        </w:rPr>
        <w:t>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მიმართ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ვალი</w:t>
      </w:r>
      <w:proofErr w:type="spellEnd"/>
      <w:r w:rsidRPr="00D63FD8">
        <w:rPr>
          <w:rFonts w:ascii="Sylfaen" w:hAnsi="Sylfaen"/>
        </w:rPr>
        <w:t xml:space="preserve">) – </w:t>
      </w:r>
      <w:r w:rsidRPr="00D63FD8">
        <w:rPr>
          <w:rFonts w:ascii="Sylfaen" w:hAnsi="Sylfaen"/>
          <w:lang w:val="ka-GE"/>
        </w:rPr>
        <w:t>40 000</w:t>
      </w:r>
      <w:r w:rsidRPr="00D63FD8">
        <w:rPr>
          <w:rFonts w:ascii="Sylfaen" w:hAnsi="Sylfaen"/>
        </w:rPr>
        <w:t xml:space="preserve">.0 </w:t>
      </w:r>
      <w:proofErr w:type="spellStart"/>
      <w:r w:rsidRPr="00D63FD8">
        <w:rPr>
          <w:rFonts w:ascii="Sylfaen" w:hAnsi="Sylfaen" w:cs="Sylfaen"/>
        </w:rPr>
        <w:t>ათასი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ლარის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ოდენობით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="00B404A9" w:rsidRPr="00D63FD8">
        <w:rPr>
          <w:rFonts w:ascii="Sylfaen" w:hAnsi="Sylfaen" w:cs="Sylfaen"/>
        </w:rPr>
        <w:t>საქართველოს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მთავრობის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და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საქართველოს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ეროვნული</w:t>
      </w:r>
      <w:proofErr w:type="spellEnd"/>
      <w:r w:rsidR="00B404A9" w:rsidRPr="008739E5">
        <w:t xml:space="preserve"> </w:t>
      </w:r>
      <w:r w:rsidR="00B404A9" w:rsidRPr="00041224">
        <w:rPr>
          <w:rFonts w:ascii="Sylfaen" w:hAnsi="Sylfaen"/>
          <w:lang w:val="ka-GE"/>
        </w:rPr>
        <w:t>ბანკის 2006 წლის 15 მაისის „საქართველოს მთავრობის საქართველოს ეროვნული ბანკისადმი დავალიანების</w:t>
      </w:r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დაფარვის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ღონისძიებების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შესახებ</w:t>
      </w:r>
      <w:proofErr w:type="spellEnd"/>
      <w:r w:rsidR="00B404A9" w:rsidRPr="008739E5">
        <w:t xml:space="preserve">“ </w:t>
      </w:r>
      <w:r w:rsidR="00B404A9" w:rsidRPr="00041224">
        <w:rPr>
          <w:rFonts w:ascii="Sylfaen" w:hAnsi="Sylfaen"/>
          <w:lang w:val="ka-GE"/>
        </w:rPr>
        <w:t>2006 წლის 20 მარტის</w:t>
      </w:r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შეთანხმებაში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ცვლილებების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შეტანის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თაობაზე</w:t>
      </w:r>
      <w:proofErr w:type="spellEnd"/>
      <w:r w:rsidR="00B404A9" w:rsidRPr="008739E5">
        <w:t xml:space="preserve">“ </w:t>
      </w:r>
      <w:proofErr w:type="spellStart"/>
      <w:r w:rsidR="00B404A9" w:rsidRPr="008739E5">
        <w:rPr>
          <w:rFonts w:ascii="Sylfaen" w:hAnsi="Sylfaen" w:cs="Sylfaen"/>
        </w:rPr>
        <w:t>შეთანხმების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შესაბამისად</w:t>
      </w:r>
      <w:proofErr w:type="spellEnd"/>
      <w:r w:rsidR="00B404A9" w:rsidRPr="008739E5">
        <w:t xml:space="preserve">. </w:t>
      </w:r>
    </w:p>
    <w:p w14:paraId="1A15D849" w14:textId="4DF9BFB0" w:rsidR="00C50CA0" w:rsidRPr="00C50CA0" w:rsidRDefault="002A01C6" w:rsidP="00C50C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8739E5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საშინაო ვალდებულებების პროცენტის მომსახურებისათვის საქართველოს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202</w:t>
      </w:r>
      <w:r w:rsidR="00987794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proofErr w:type="spellStart"/>
      <w:r w:rsidRPr="00C50CA0">
        <w:rPr>
          <w:rFonts w:ascii="Sylfaen" w:hAnsi="Sylfaen" w:cs="Sylfaen"/>
        </w:rPr>
        <w:t>სახელმწიფო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="00EF07D7">
        <w:rPr>
          <w:rFonts w:ascii="Sylfaen" w:hAnsi="Sylfaen" w:cs="Sylfaen"/>
        </w:rPr>
        <w:t>ბიუჯეტი</w:t>
      </w:r>
      <w:r w:rsidRPr="00C50CA0">
        <w:rPr>
          <w:rFonts w:ascii="Sylfaen" w:hAnsi="Sylfaen" w:cs="Sylfaen"/>
        </w:rPr>
        <w:t>ით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გათვალისწინებულია</w:t>
      </w:r>
      <w:proofErr w:type="spellEnd"/>
      <w:r w:rsidRPr="00C50CA0">
        <w:rPr>
          <w:rFonts w:ascii="Sylfaen" w:hAnsi="Sylfaen" w:cs="Sylfaen"/>
        </w:rPr>
        <w:t xml:space="preserve"> </w:t>
      </w:r>
      <w:r w:rsidR="00987794">
        <w:rPr>
          <w:rFonts w:ascii="Sylfaen" w:hAnsi="Sylfaen" w:cs="Sylfaen"/>
          <w:lang w:val="ka-GE"/>
        </w:rPr>
        <w:t>675</w:t>
      </w:r>
      <w:r w:rsidRPr="00C50CA0">
        <w:rPr>
          <w:rFonts w:ascii="Sylfaen" w:hAnsi="Sylfaen" w:cs="Sylfaen"/>
        </w:rPr>
        <w:t xml:space="preserve"> 000.0 </w:t>
      </w:r>
      <w:proofErr w:type="spellStart"/>
      <w:r w:rsidRPr="00C50CA0">
        <w:rPr>
          <w:rFonts w:ascii="Sylfaen" w:hAnsi="Sylfaen" w:cs="Sylfaen"/>
        </w:rPr>
        <w:t>ათასი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ლარი</w:t>
      </w:r>
      <w:proofErr w:type="spellEnd"/>
      <w:r w:rsidRPr="00C50CA0">
        <w:rPr>
          <w:rFonts w:ascii="Sylfaen" w:hAnsi="Sylfaen" w:cs="Sylfaen"/>
        </w:rPr>
        <w:t>.</w:t>
      </w:r>
    </w:p>
    <w:p w14:paraId="53172D4E" w14:textId="2555FEBC" w:rsidR="00B404A9" w:rsidRDefault="00B404A9" w:rsidP="00C50C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C50CA0">
        <w:rPr>
          <w:rFonts w:ascii="Sylfaen" w:hAnsi="Sylfaen" w:cs="Sylfaen"/>
        </w:rPr>
        <w:t>202</w:t>
      </w:r>
      <w:r w:rsidR="00987794">
        <w:rPr>
          <w:rFonts w:ascii="Sylfaen" w:hAnsi="Sylfaen" w:cs="Sylfaen"/>
        </w:rPr>
        <w:t>3</w:t>
      </w:r>
      <w:r w:rsidRPr="00C50CA0">
        <w:rPr>
          <w:rFonts w:ascii="Sylfaen" w:hAnsi="Sylfaen" w:cs="Sylfaen"/>
        </w:rPr>
        <w:t xml:space="preserve"> </w:t>
      </w:r>
      <w:proofErr w:type="spellStart"/>
      <w:r w:rsidRPr="008739E5">
        <w:rPr>
          <w:rFonts w:ascii="Sylfaen" w:hAnsi="Sylfaen" w:cs="Sylfaen"/>
        </w:rPr>
        <w:t>წლის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ბიუჯეტის</w:t>
      </w:r>
      <w:proofErr w:type="spellEnd"/>
      <w:r w:rsidRPr="008739E5">
        <w:t xml:space="preserve"> </w:t>
      </w:r>
      <w:proofErr w:type="spellStart"/>
      <w:r w:rsidR="00EF07D7">
        <w:rPr>
          <w:rFonts w:ascii="Sylfaen" w:hAnsi="Sylfaen" w:cs="Sylfaen"/>
        </w:rPr>
        <w:t>კანონ</w:t>
      </w:r>
      <w:r w:rsidRPr="008739E5">
        <w:rPr>
          <w:rFonts w:ascii="Sylfaen" w:hAnsi="Sylfaen" w:cs="Sylfaen"/>
        </w:rPr>
        <w:t>ით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განსაზღვრული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საგარეო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საშინაო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პარამეტრები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უზრუნველყოფენ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მდგრადობის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შენარჩუნებას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საშუალოვადიან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პერიოდში</w:t>
      </w:r>
      <w:proofErr w:type="spellEnd"/>
      <w:r w:rsidRPr="008739E5">
        <w:rPr>
          <w:rFonts w:ascii="Sylfaen" w:hAnsi="Sylfaen" w:cs="Sylfaen"/>
          <w:lang w:val="ka-GE"/>
        </w:rPr>
        <w:t>.</w:t>
      </w:r>
    </w:p>
    <w:p w14:paraId="3B31D96F" w14:textId="77777777" w:rsidR="00396821" w:rsidRPr="00B73E97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14:paraId="026F57D6" w14:textId="72B6BB2F" w:rsidR="00FE1A0F" w:rsidRDefault="00FE1A0F" w:rsidP="009A5FAB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t>მთავრობის ვალის საპროგნოზო ზღვრული მოცულობა 202</w:t>
      </w:r>
      <w:r w:rsidR="00987794">
        <w:rPr>
          <w:rFonts w:ascii="Sylfaen" w:hAnsi="Sylfaen"/>
          <w:b/>
          <w:lang w:val="ka-GE"/>
        </w:rPr>
        <w:t>3</w:t>
      </w:r>
      <w:r w:rsidRPr="00B73E97">
        <w:rPr>
          <w:rFonts w:ascii="Sylfaen" w:hAnsi="Sylfaen"/>
          <w:b/>
          <w:lang w:val="ka-GE"/>
        </w:rPr>
        <w:t xml:space="preserve"> წლის ბოლოსთვის</w:t>
      </w:r>
    </w:p>
    <w:p w14:paraId="04895E6C" w14:textId="5DE0A41F" w:rsidR="00BB0398" w:rsidRPr="00EF07D7" w:rsidRDefault="00987794" w:rsidP="00987794">
      <w:pPr>
        <w:tabs>
          <w:tab w:val="left" w:pos="720"/>
          <w:tab w:val="left" w:pos="9360"/>
        </w:tabs>
        <w:spacing w:after="0" w:line="240" w:lineRule="auto"/>
        <w:ind w:right="693"/>
        <w:jc w:val="right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i/>
          <w:sz w:val="18"/>
          <w:szCs w:val="18"/>
          <w:lang w:val="ka-GE"/>
        </w:rPr>
        <w:t xml:space="preserve">  </w:t>
      </w:r>
      <w:r w:rsidR="00BB0398" w:rsidRPr="00EF07D7">
        <w:rPr>
          <w:rFonts w:ascii="Sylfaen" w:hAnsi="Sylfaen"/>
          <w:b/>
          <w:i/>
          <w:sz w:val="16"/>
          <w:szCs w:val="16"/>
          <w:lang w:val="ka-GE"/>
        </w:rPr>
        <w:t>ათასი 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018"/>
        <w:gridCol w:w="2025"/>
      </w:tblGrid>
      <w:tr w:rsidR="00FE0066" w:rsidRPr="00EF07D7" w14:paraId="59B863CF" w14:textId="77777777" w:rsidTr="00EF07D7">
        <w:trPr>
          <w:trHeight w:val="735"/>
          <w:tblHeader/>
        </w:trPr>
        <w:tc>
          <w:tcPr>
            <w:tcW w:w="39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77F60" w14:textId="77777777" w:rsidR="00FE0066" w:rsidRPr="00EF07D7" w:rsidRDefault="00FE0066" w:rsidP="00FE006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bookmarkStart w:id="1" w:name="RANGE!B2:C40"/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კრედიტორი</w:t>
            </w:r>
            <w:proofErr w:type="spellEnd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bookmarkEnd w:id="1"/>
          </w:p>
        </w:tc>
        <w:tc>
          <w:tcPr>
            <w:tcW w:w="10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4E4BA2" w14:textId="77777777" w:rsidR="00FE0066" w:rsidRPr="00EF07D7" w:rsidRDefault="00FE0066" w:rsidP="00FE006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საპროგნოზო</w:t>
            </w:r>
            <w:proofErr w:type="spellEnd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31.12.2023</w:t>
            </w:r>
          </w:p>
        </w:tc>
      </w:tr>
      <w:tr w:rsidR="00FE0066" w:rsidRPr="00EF07D7" w14:paraId="01D19D37" w14:textId="77777777" w:rsidTr="00EF07D7">
        <w:trPr>
          <w:trHeight w:val="66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D9F3DD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ზღვრული</w:t>
            </w:r>
            <w:proofErr w:type="spellEnd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D1BD5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22 554 289,2</w:t>
            </w:r>
          </w:p>
        </w:tc>
      </w:tr>
      <w:tr w:rsidR="00FE0066" w:rsidRPr="00EF07D7" w14:paraId="5F44F9EB" w14:textId="77777777" w:rsidTr="00EF07D7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6188EA92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proofErr w:type="spellEnd"/>
            <w:r w:rsidRPr="00EF0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5C9BC798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16 776 689,1</w:t>
            </w:r>
          </w:p>
        </w:tc>
      </w:tr>
      <w:tr w:rsidR="00FE0066" w:rsidRPr="00EF07D7" w14:paraId="3174858E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49531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(WB)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04C7D6D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5 748 020,5</w:t>
            </w:r>
          </w:p>
        </w:tc>
      </w:tr>
      <w:tr w:rsidR="00FE0066" w:rsidRPr="00EF07D7" w14:paraId="09BCC2B2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3472F3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სოფლის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ფონდი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D2AB05E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108 812,8</w:t>
            </w:r>
          </w:p>
        </w:tc>
      </w:tr>
      <w:tr w:rsidR="00FE0066" w:rsidRPr="00EF07D7" w14:paraId="05D3C444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5D126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სავალუტო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ფონდი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(IMF)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B57846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539 749,8</w:t>
            </w:r>
          </w:p>
        </w:tc>
      </w:tr>
      <w:tr w:rsidR="00FE0066" w:rsidRPr="00EF07D7" w14:paraId="1301FB90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D05F9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რეკონსტრუქციისა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და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C7AEDCE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692 397,7</w:t>
            </w:r>
          </w:p>
        </w:tc>
      </w:tr>
      <w:tr w:rsidR="00FE0066" w:rsidRPr="00EF07D7" w14:paraId="1ECC711C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1C8360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აზიის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E8DF54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5 972 061,3</w:t>
            </w:r>
          </w:p>
        </w:tc>
      </w:tr>
      <w:tr w:rsidR="00FE0066" w:rsidRPr="00EF07D7" w14:paraId="1F5A2E4C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1BFF9D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(EIB)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129E59A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2 726 522,4</w:t>
            </w:r>
          </w:p>
        </w:tc>
      </w:tr>
      <w:tr w:rsidR="00FE0066" w:rsidRPr="00EF07D7" w14:paraId="515CB77F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AEDBEB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ევროკავშირი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37BD10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378 810,6</w:t>
            </w:r>
          </w:p>
        </w:tc>
      </w:tr>
      <w:tr w:rsidR="00FE0066" w:rsidRPr="00EF07D7" w14:paraId="24D7B9ED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F8752D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აზიის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2B42AB9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563 675,2</w:t>
            </w:r>
          </w:p>
        </w:tc>
      </w:tr>
      <w:tr w:rsidR="00FE0066" w:rsidRPr="00EF07D7" w14:paraId="2BD05B70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046DDA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ევროსაბჭოს</w:t>
            </w:r>
            <w:proofErr w:type="spellEnd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</w:t>
            </w:r>
            <w:proofErr w:type="spellEnd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(CEB)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BF6F2E0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40 676,7</w:t>
            </w:r>
          </w:p>
        </w:tc>
      </w:tr>
      <w:tr w:rsidR="00FE0066" w:rsidRPr="00EF07D7" w14:paraId="1455DB04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509CEB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სკანდინავიური</w:t>
            </w:r>
            <w:proofErr w:type="spellEnd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გარემოსდაცვის</w:t>
            </w:r>
            <w:proofErr w:type="spellEnd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საფინანსო</w:t>
            </w:r>
            <w:proofErr w:type="spellEnd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კორპორაცია</w:t>
            </w:r>
            <w:proofErr w:type="spellEnd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(NEFCO)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A0DD47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5 962,1</w:t>
            </w:r>
          </w:p>
        </w:tc>
      </w:tr>
      <w:tr w:rsidR="00FE0066" w:rsidRPr="00EF07D7" w14:paraId="7DEA4DCE" w14:textId="77777777" w:rsidTr="00EF07D7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3CBFE36C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ორმხრივი</w:t>
            </w:r>
            <w:proofErr w:type="spellEnd"/>
            <w:r w:rsidRPr="00EF0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28847E34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4 351 565,8</w:t>
            </w:r>
          </w:p>
        </w:tc>
      </w:tr>
      <w:tr w:rsidR="00FE0066" w:rsidRPr="00EF07D7" w14:paraId="32337AFC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7CB87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607BEE7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33 149,9</w:t>
            </w:r>
          </w:p>
        </w:tc>
      </w:tr>
      <w:tr w:rsidR="00FE0066" w:rsidRPr="00EF07D7" w14:paraId="504CA8E3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01F1EE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1AB363D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6 346,4</w:t>
            </w:r>
          </w:p>
        </w:tc>
      </w:tr>
      <w:tr w:rsidR="00FE0066" w:rsidRPr="00EF07D7" w14:paraId="7B18945D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F7E781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C790DF0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600,8</w:t>
            </w:r>
          </w:p>
        </w:tc>
      </w:tr>
      <w:tr w:rsidR="00FE0066" w:rsidRPr="00EF07D7" w14:paraId="36AEEB8E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0AE71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A310C3B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12 357,7</w:t>
            </w:r>
          </w:p>
        </w:tc>
      </w:tr>
      <w:tr w:rsidR="00FE0066" w:rsidRPr="00EF07D7" w14:paraId="168432CD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F824C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F868409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4 629,2</w:t>
            </w:r>
          </w:p>
        </w:tc>
      </w:tr>
      <w:tr w:rsidR="00FE0066" w:rsidRPr="00EF07D7" w14:paraId="022B28AC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9D9ABE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14654AD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43 380,0</w:t>
            </w:r>
          </w:p>
        </w:tc>
      </w:tr>
      <w:tr w:rsidR="00FE0066" w:rsidRPr="00EF07D7" w14:paraId="2AD21A2B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C40E53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8666234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5 598,4</w:t>
            </w:r>
          </w:p>
        </w:tc>
      </w:tr>
      <w:tr w:rsidR="00FE0066" w:rsidRPr="00EF07D7" w14:paraId="1BF2AA4E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429CB7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B83020D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6 903,4</w:t>
            </w:r>
          </w:p>
        </w:tc>
      </w:tr>
      <w:tr w:rsidR="00FE0066" w:rsidRPr="00EF07D7" w14:paraId="28EBCD22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C364C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33BD1C9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1 686 305,6</w:t>
            </w:r>
          </w:p>
        </w:tc>
      </w:tr>
      <w:tr w:rsidR="00FE0066" w:rsidRPr="00EF07D7" w14:paraId="75C3AE6E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296545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1F09B1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389 337,0</w:t>
            </w:r>
          </w:p>
        </w:tc>
      </w:tr>
      <w:tr w:rsidR="00FE0066" w:rsidRPr="00EF07D7" w14:paraId="61AC2E43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797B6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15414BC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61 894,3</w:t>
            </w:r>
          </w:p>
        </w:tc>
      </w:tr>
      <w:tr w:rsidR="00FE0066" w:rsidRPr="00EF07D7" w14:paraId="4C6A7ADB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77A27F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9A1BA06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130,6</w:t>
            </w:r>
          </w:p>
        </w:tc>
      </w:tr>
      <w:tr w:rsidR="00FE0066" w:rsidRPr="00EF07D7" w14:paraId="3FEA7C35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F7F502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ამერიკა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27F1236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24 400,1</w:t>
            </w:r>
          </w:p>
        </w:tc>
      </w:tr>
      <w:tr w:rsidR="00FE0066" w:rsidRPr="00EF07D7" w14:paraId="249F2EEA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ABC7E2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1FFFA5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2 076 532,4</w:t>
            </w:r>
          </w:p>
        </w:tc>
      </w:tr>
      <w:tr w:rsidR="00FE0066" w:rsidRPr="00EF07D7" w14:paraId="1CA0A838" w14:textId="77777777" w:rsidTr="00EF07D7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09D795E9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EF0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EF0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2E9EC963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1 423 100,0</w:t>
            </w:r>
          </w:p>
        </w:tc>
      </w:tr>
      <w:tr w:rsidR="00FE0066" w:rsidRPr="00EF07D7" w14:paraId="7647118E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622A3C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2FB1AFD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1 423 100,0</w:t>
            </w:r>
          </w:p>
        </w:tc>
      </w:tr>
      <w:tr w:rsidR="00FE0066" w:rsidRPr="00EF07D7" w14:paraId="5F466EB6" w14:textId="77777777" w:rsidTr="00EF07D7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14:paraId="1F7976E4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გარანტიით</w:t>
            </w:r>
            <w:proofErr w:type="spellEnd"/>
            <w:r w:rsidRPr="00EF0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აღებული</w:t>
            </w:r>
            <w:proofErr w:type="spellEnd"/>
            <w:r w:rsidRPr="00EF0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14:paraId="11D2CE71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2 934,4</w:t>
            </w:r>
          </w:p>
        </w:tc>
      </w:tr>
      <w:tr w:rsidR="00FE0066" w:rsidRPr="00EF07D7" w14:paraId="3BEF03AD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1215A8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CD5AA31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2 934,4</w:t>
            </w:r>
          </w:p>
        </w:tc>
      </w:tr>
      <w:tr w:rsidR="00FE0066" w:rsidRPr="00EF07D7" w14:paraId="72272931" w14:textId="77777777" w:rsidTr="00EF07D7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5B6CD093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</w:t>
            </w:r>
            <w:proofErr w:type="spellEnd"/>
            <w:r w:rsidRPr="00EF0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EF0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ზღვრული</w:t>
            </w:r>
            <w:proofErr w:type="spellEnd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14:paraId="788A713D" w14:textId="4EF8C7DE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8 </w:t>
            </w:r>
            <w:r w:rsidR="008B6238" w:rsidRPr="00EF07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  <w:r w:rsidRPr="00EF07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53 799,9</w:t>
            </w:r>
          </w:p>
        </w:tc>
      </w:tr>
      <w:tr w:rsidR="00FE0066" w:rsidRPr="00EF07D7" w14:paraId="303A67F8" w14:textId="77777777" w:rsidTr="00EF07D7">
        <w:trPr>
          <w:trHeight w:val="6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43CB4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ბანკისთვის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განკუთვნილი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ერთწლიანი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ყოველწლიურად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განახლებადი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ობლიგაცია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79A1A1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80 846,0</w:t>
            </w:r>
          </w:p>
        </w:tc>
      </w:tr>
      <w:tr w:rsidR="00FE0066" w:rsidRPr="00EF07D7" w14:paraId="1AAAF6AD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35DB3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სხვადასხვა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ვადის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ობლიგაციები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ღია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ბაზრის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B1E763E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152 000,0</w:t>
            </w:r>
          </w:p>
        </w:tc>
      </w:tr>
      <w:tr w:rsidR="00FE0066" w:rsidRPr="00EF07D7" w14:paraId="41830FC9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C60FA2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85289F3" w14:textId="7F9E909C" w:rsidR="00FE0066" w:rsidRPr="00EF07D7" w:rsidRDefault="008B6238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  <w:r w:rsidR="00FE0066"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1 642,0</w:t>
            </w:r>
          </w:p>
        </w:tc>
      </w:tr>
      <w:tr w:rsidR="00FE0066" w:rsidRPr="00EF07D7" w14:paraId="0E1DBB3C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016A0F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EF07D7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D4EABB3" w14:textId="00EE0D53" w:rsidR="00FE0066" w:rsidRPr="00EF07D7" w:rsidRDefault="008B6238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7 704 311,9</w:t>
            </w:r>
          </w:p>
        </w:tc>
      </w:tr>
      <w:tr w:rsidR="00FE0066" w:rsidRPr="00EF07D7" w14:paraId="77D419EB" w14:textId="77777777" w:rsidTr="00EF07D7">
        <w:trPr>
          <w:trHeight w:val="300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4B208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საბიუჯეტო</w:t>
            </w:r>
            <w:proofErr w:type="spellEnd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ორგანიზაციების</w:t>
            </w:r>
            <w:proofErr w:type="spellEnd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სესხის</w:t>
            </w:r>
            <w:proofErr w:type="spellEnd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სახით</w:t>
            </w:r>
            <w:proofErr w:type="spellEnd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არსებული</w:t>
            </w:r>
            <w:proofErr w:type="spellEnd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ვალი</w:t>
            </w:r>
            <w:proofErr w:type="spellEnd"/>
            <w:r w:rsidRPr="00EF07D7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A4EB074" w14:textId="77777777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35 000,0</w:t>
            </w:r>
          </w:p>
        </w:tc>
      </w:tr>
      <w:tr w:rsidR="00FE0066" w:rsidRPr="00EF07D7" w14:paraId="58BA8E81" w14:textId="77777777" w:rsidTr="00EF07D7">
        <w:trPr>
          <w:trHeight w:val="315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F34D06" w14:textId="77777777" w:rsidR="00FE0066" w:rsidRPr="00EF07D7" w:rsidRDefault="00FE0066" w:rsidP="00FE0066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EF0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EF0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EF07D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ზღვრული</w:t>
            </w:r>
            <w:proofErr w:type="spellEnd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07D7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DEB45F" w14:textId="625A54FC" w:rsidR="00FE0066" w:rsidRPr="00EF07D7" w:rsidRDefault="00FE0066" w:rsidP="00FE00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EF07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8B6238" w:rsidRPr="00EF07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Pr="00EF07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B6238" w:rsidRPr="00EF07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Pr="00EF07D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08 089,1</w:t>
            </w:r>
          </w:p>
        </w:tc>
      </w:tr>
    </w:tbl>
    <w:p w14:paraId="557667C3" w14:textId="77777777" w:rsidR="00B93A56" w:rsidRDefault="00B93A56" w:rsidP="003B0642">
      <w:pPr>
        <w:spacing w:after="0" w:line="240" w:lineRule="auto"/>
        <w:jc w:val="right"/>
        <w:rPr>
          <w:rFonts w:ascii="Sylfaen" w:hAnsi="Sylfaen"/>
          <w:b/>
          <w:i/>
          <w:noProof/>
          <w:color w:val="000000"/>
          <w:sz w:val="18"/>
          <w:szCs w:val="18"/>
        </w:rPr>
      </w:pPr>
    </w:p>
    <w:p w14:paraId="3A778D0A" w14:textId="77777777" w:rsidR="005406F9" w:rsidRDefault="005406F9" w:rsidP="003B0642">
      <w:pPr>
        <w:spacing w:after="0" w:line="240" w:lineRule="auto"/>
        <w:jc w:val="right"/>
        <w:rPr>
          <w:rFonts w:ascii="Sylfaen" w:hAnsi="Sylfaen"/>
          <w:b/>
          <w:i/>
          <w:noProof/>
          <w:color w:val="000000"/>
          <w:sz w:val="18"/>
          <w:szCs w:val="18"/>
        </w:rPr>
      </w:pPr>
    </w:p>
    <w:p w14:paraId="176A9360" w14:textId="7071CF95" w:rsidR="00FB7087" w:rsidRPr="00B73E97" w:rsidRDefault="00BA5201" w:rsidP="00EF07D7">
      <w:pPr>
        <w:spacing w:after="0" w:line="240" w:lineRule="auto"/>
        <w:ind w:right="243"/>
        <w:jc w:val="both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 w:rsidRPr="00BA5201">
        <w:rPr>
          <w:rFonts w:ascii="Sylfaen" w:hAnsi="Sylfaen"/>
          <w:sz w:val="16"/>
          <w:szCs w:val="16"/>
          <w:lang w:val="ka-GE"/>
        </w:rPr>
        <w:t>გამოთვლისას გამოყენებულია 2022 წლის 21 სექტემბრის გაცვლითი კურსი  1 EUR = 2.8482  GEL; 1 SDR = 3,6718 GEL; 100 JPY = 1.9818  GEL; 1 KWD = 9.2110  GEL; 1 USD = 2.8462 GEL.</w:t>
      </w:r>
      <w:r w:rsidR="00AD59D0" w:rsidRPr="00B73E97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14:paraId="6EA47C13" w14:textId="77777777" w:rsidR="0053506B" w:rsidRPr="00B73E97" w:rsidRDefault="0053506B" w:rsidP="00484C3A">
      <w:pPr>
        <w:spacing w:after="0" w:line="240" w:lineRule="auto"/>
        <w:rPr>
          <w:rFonts w:ascii="Sylfaen" w:hAnsi="Sylfaen" w:cs="Sylfaen"/>
          <w:color w:val="FF0000"/>
          <w:sz w:val="18"/>
        </w:rPr>
      </w:pPr>
    </w:p>
    <w:sectPr w:rsidR="0053506B" w:rsidRPr="00B73E97" w:rsidSect="0007776A">
      <w:footerReference w:type="default" r:id="rId11"/>
      <w:footerReference w:type="first" r:id="rId12"/>
      <w:pgSz w:w="11907" w:h="16839" w:code="9"/>
      <w:pgMar w:top="568" w:right="1134" w:bottom="900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B96C9" w14:textId="77777777" w:rsidR="00100D6E" w:rsidRDefault="00100D6E" w:rsidP="00400BED">
      <w:pPr>
        <w:spacing w:after="0" w:line="240" w:lineRule="auto"/>
      </w:pPr>
      <w:r>
        <w:separator/>
      </w:r>
    </w:p>
  </w:endnote>
  <w:endnote w:type="continuationSeparator" w:id="0">
    <w:p w14:paraId="6A6C1D84" w14:textId="77777777" w:rsidR="00100D6E" w:rsidRDefault="00100D6E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Arial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052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BAFE19" w14:textId="378A16C7" w:rsidR="00FE0066" w:rsidRDefault="00FE00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0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B2BE40" w14:textId="77777777" w:rsidR="00FE0066" w:rsidRDefault="00FE0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169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177FD" w14:textId="6100D020" w:rsidR="00FE0066" w:rsidRDefault="00FE00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0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651D8B" w14:textId="77777777" w:rsidR="00FE0066" w:rsidRDefault="00FE0066" w:rsidP="008869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FC687" w14:textId="77777777" w:rsidR="00100D6E" w:rsidRDefault="00100D6E" w:rsidP="00400BED">
      <w:pPr>
        <w:spacing w:after="0" w:line="240" w:lineRule="auto"/>
      </w:pPr>
      <w:r>
        <w:separator/>
      </w:r>
    </w:p>
  </w:footnote>
  <w:footnote w:type="continuationSeparator" w:id="0">
    <w:p w14:paraId="01A081A1" w14:textId="77777777" w:rsidR="00100D6E" w:rsidRDefault="00100D6E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57C7"/>
    <w:multiLevelType w:val="hybridMultilevel"/>
    <w:tmpl w:val="52D63B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030B5"/>
    <w:multiLevelType w:val="hybridMultilevel"/>
    <w:tmpl w:val="BB66EE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8505A"/>
    <w:multiLevelType w:val="hybridMultilevel"/>
    <w:tmpl w:val="C64042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2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15"/>
  </w:num>
  <w:num w:numId="14">
    <w:abstractNumId w:val="3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12780"/>
    <w:rsid w:val="00012CCB"/>
    <w:rsid w:val="00012E03"/>
    <w:rsid w:val="00013763"/>
    <w:rsid w:val="00013D97"/>
    <w:rsid w:val="0001411B"/>
    <w:rsid w:val="00015303"/>
    <w:rsid w:val="000156E3"/>
    <w:rsid w:val="000162A1"/>
    <w:rsid w:val="00017DE3"/>
    <w:rsid w:val="00027288"/>
    <w:rsid w:val="0002796C"/>
    <w:rsid w:val="00030A9F"/>
    <w:rsid w:val="00030CF6"/>
    <w:rsid w:val="00032625"/>
    <w:rsid w:val="000340AB"/>
    <w:rsid w:val="0003606D"/>
    <w:rsid w:val="000369D7"/>
    <w:rsid w:val="00036CFD"/>
    <w:rsid w:val="00037587"/>
    <w:rsid w:val="00037DB7"/>
    <w:rsid w:val="00040C4B"/>
    <w:rsid w:val="00041224"/>
    <w:rsid w:val="000413CE"/>
    <w:rsid w:val="00041D5B"/>
    <w:rsid w:val="00044F01"/>
    <w:rsid w:val="000458CE"/>
    <w:rsid w:val="00046206"/>
    <w:rsid w:val="00050EF1"/>
    <w:rsid w:val="0005462B"/>
    <w:rsid w:val="00054AB0"/>
    <w:rsid w:val="00057593"/>
    <w:rsid w:val="00061874"/>
    <w:rsid w:val="00063126"/>
    <w:rsid w:val="00063D27"/>
    <w:rsid w:val="00064717"/>
    <w:rsid w:val="00065901"/>
    <w:rsid w:val="00065AD3"/>
    <w:rsid w:val="00066878"/>
    <w:rsid w:val="0006735B"/>
    <w:rsid w:val="0007088A"/>
    <w:rsid w:val="0007188A"/>
    <w:rsid w:val="00071A46"/>
    <w:rsid w:val="00071A4F"/>
    <w:rsid w:val="00071D1D"/>
    <w:rsid w:val="00071DD7"/>
    <w:rsid w:val="00073EEF"/>
    <w:rsid w:val="0007413E"/>
    <w:rsid w:val="00074A14"/>
    <w:rsid w:val="0007519C"/>
    <w:rsid w:val="000771C9"/>
    <w:rsid w:val="0007776A"/>
    <w:rsid w:val="00080A73"/>
    <w:rsid w:val="0008119F"/>
    <w:rsid w:val="00081DE3"/>
    <w:rsid w:val="000858BE"/>
    <w:rsid w:val="00086A00"/>
    <w:rsid w:val="00087552"/>
    <w:rsid w:val="00091646"/>
    <w:rsid w:val="000957B3"/>
    <w:rsid w:val="00095B71"/>
    <w:rsid w:val="00096855"/>
    <w:rsid w:val="000969CB"/>
    <w:rsid w:val="00096CC2"/>
    <w:rsid w:val="000973FB"/>
    <w:rsid w:val="000979F0"/>
    <w:rsid w:val="000A05E4"/>
    <w:rsid w:val="000A1240"/>
    <w:rsid w:val="000A29EB"/>
    <w:rsid w:val="000A4467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C63C9"/>
    <w:rsid w:val="000D046A"/>
    <w:rsid w:val="000D159E"/>
    <w:rsid w:val="000D1A17"/>
    <w:rsid w:val="000D4052"/>
    <w:rsid w:val="000D4D25"/>
    <w:rsid w:val="000D7D26"/>
    <w:rsid w:val="000E0438"/>
    <w:rsid w:val="000E1BBD"/>
    <w:rsid w:val="000E2E32"/>
    <w:rsid w:val="000E4DAD"/>
    <w:rsid w:val="000E5F6B"/>
    <w:rsid w:val="000E7432"/>
    <w:rsid w:val="000E7E49"/>
    <w:rsid w:val="000F00E4"/>
    <w:rsid w:val="000F13F4"/>
    <w:rsid w:val="000F487B"/>
    <w:rsid w:val="000F55BB"/>
    <w:rsid w:val="000F5720"/>
    <w:rsid w:val="000F7FD3"/>
    <w:rsid w:val="00100D6E"/>
    <w:rsid w:val="00102D0F"/>
    <w:rsid w:val="00103D04"/>
    <w:rsid w:val="001055DA"/>
    <w:rsid w:val="00107030"/>
    <w:rsid w:val="00110A1B"/>
    <w:rsid w:val="00121AE2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25D"/>
    <w:rsid w:val="00140A25"/>
    <w:rsid w:val="00140A2F"/>
    <w:rsid w:val="00144098"/>
    <w:rsid w:val="001441DC"/>
    <w:rsid w:val="00145367"/>
    <w:rsid w:val="0014548C"/>
    <w:rsid w:val="00151C5B"/>
    <w:rsid w:val="00153061"/>
    <w:rsid w:val="001536D0"/>
    <w:rsid w:val="00154312"/>
    <w:rsid w:val="00157433"/>
    <w:rsid w:val="00160413"/>
    <w:rsid w:val="001609E6"/>
    <w:rsid w:val="00162FC7"/>
    <w:rsid w:val="00164B20"/>
    <w:rsid w:val="0016733A"/>
    <w:rsid w:val="001673DC"/>
    <w:rsid w:val="00173BAA"/>
    <w:rsid w:val="0017448F"/>
    <w:rsid w:val="001757D3"/>
    <w:rsid w:val="001763B0"/>
    <w:rsid w:val="00180F87"/>
    <w:rsid w:val="00181ECC"/>
    <w:rsid w:val="00182832"/>
    <w:rsid w:val="00182E93"/>
    <w:rsid w:val="00187C1C"/>
    <w:rsid w:val="00190A72"/>
    <w:rsid w:val="00192C0F"/>
    <w:rsid w:val="00193364"/>
    <w:rsid w:val="00193C76"/>
    <w:rsid w:val="00197E9D"/>
    <w:rsid w:val="001A2AFB"/>
    <w:rsid w:val="001A3600"/>
    <w:rsid w:val="001A397F"/>
    <w:rsid w:val="001A410C"/>
    <w:rsid w:val="001A4349"/>
    <w:rsid w:val="001B17E2"/>
    <w:rsid w:val="001B2633"/>
    <w:rsid w:val="001B36DC"/>
    <w:rsid w:val="001B4547"/>
    <w:rsid w:val="001B508D"/>
    <w:rsid w:val="001B5DAC"/>
    <w:rsid w:val="001C5235"/>
    <w:rsid w:val="001C5F44"/>
    <w:rsid w:val="001C7199"/>
    <w:rsid w:val="001D0A60"/>
    <w:rsid w:val="001D17B2"/>
    <w:rsid w:val="001D5195"/>
    <w:rsid w:val="001D5ADC"/>
    <w:rsid w:val="001D65B8"/>
    <w:rsid w:val="001D6905"/>
    <w:rsid w:val="001D719D"/>
    <w:rsid w:val="001D7AFC"/>
    <w:rsid w:val="001E039B"/>
    <w:rsid w:val="001E1573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6BEB"/>
    <w:rsid w:val="00210947"/>
    <w:rsid w:val="00215653"/>
    <w:rsid w:val="0022130D"/>
    <w:rsid w:val="00223AB6"/>
    <w:rsid w:val="00225341"/>
    <w:rsid w:val="00233B5E"/>
    <w:rsid w:val="0023438F"/>
    <w:rsid w:val="00236007"/>
    <w:rsid w:val="0024105B"/>
    <w:rsid w:val="0024488E"/>
    <w:rsid w:val="00247C11"/>
    <w:rsid w:val="0025039F"/>
    <w:rsid w:val="00255F02"/>
    <w:rsid w:val="00256FDD"/>
    <w:rsid w:val="00262BF3"/>
    <w:rsid w:val="00263EAD"/>
    <w:rsid w:val="00267926"/>
    <w:rsid w:val="00270120"/>
    <w:rsid w:val="00270C72"/>
    <w:rsid w:val="002758CB"/>
    <w:rsid w:val="0028042E"/>
    <w:rsid w:val="0028088E"/>
    <w:rsid w:val="00280C50"/>
    <w:rsid w:val="00280FA2"/>
    <w:rsid w:val="00281A88"/>
    <w:rsid w:val="0028678E"/>
    <w:rsid w:val="0028789D"/>
    <w:rsid w:val="00291229"/>
    <w:rsid w:val="00291724"/>
    <w:rsid w:val="0029176A"/>
    <w:rsid w:val="00293858"/>
    <w:rsid w:val="0029394E"/>
    <w:rsid w:val="00294224"/>
    <w:rsid w:val="002A01C6"/>
    <w:rsid w:val="002A0BB1"/>
    <w:rsid w:val="002A2174"/>
    <w:rsid w:val="002A3C73"/>
    <w:rsid w:val="002A4263"/>
    <w:rsid w:val="002B1561"/>
    <w:rsid w:val="002B1FB3"/>
    <w:rsid w:val="002B3E23"/>
    <w:rsid w:val="002B47AA"/>
    <w:rsid w:val="002B61B5"/>
    <w:rsid w:val="002B61EC"/>
    <w:rsid w:val="002B6702"/>
    <w:rsid w:val="002B6DAE"/>
    <w:rsid w:val="002B6F15"/>
    <w:rsid w:val="002B72FA"/>
    <w:rsid w:val="002B7EE6"/>
    <w:rsid w:val="002C2F60"/>
    <w:rsid w:val="002C41C2"/>
    <w:rsid w:val="002C7782"/>
    <w:rsid w:val="002C784F"/>
    <w:rsid w:val="002D0A51"/>
    <w:rsid w:val="002D0C0E"/>
    <w:rsid w:val="002D15C8"/>
    <w:rsid w:val="002D16E4"/>
    <w:rsid w:val="002D22B9"/>
    <w:rsid w:val="002D596E"/>
    <w:rsid w:val="002D6813"/>
    <w:rsid w:val="002E358C"/>
    <w:rsid w:val="002E3E75"/>
    <w:rsid w:val="002F0B9C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50E3"/>
    <w:rsid w:val="0031649A"/>
    <w:rsid w:val="003166CD"/>
    <w:rsid w:val="00317C22"/>
    <w:rsid w:val="00322857"/>
    <w:rsid w:val="0032483D"/>
    <w:rsid w:val="00324F96"/>
    <w:rsid w:val="00325994"/>
    <w:rsid w:val="0032795B"/>
    <w:rsid w:val="003303AF"/>
    <w:rsid w:val="0033211A"/>
    <w:rsid w:val="00332B60"/>
    <w:rsid w:val="003351F0"/>
    <w:rsid w:val="00341411"/>
    <w:rsid w:val="003419E6"/>
    <w:rsid w:val="003425D6"/>
    <w:rsid w:val="003430DD"/>
    <w:rsid w:val="00347FB5"/>
    <w:rsid w:val="00352E0D"/>
    <w:rsid w:val="003532BD"/>
    <w:rsid w:val="0035676A"/>
    <w:rsid w:val="00361883"/>
    <w:rsid w:val="00364196"/>
    <w:rsid w:val="0036419C"/>
    <w:rsid w:val="00365A49"/>
    <w:rsid w:val="00372A1B"/>
    <w:rsid w:val="00375F6E"/>
    <w:rsid w:val="00377B9F"/>
    <w:rsid w:val="003800EA"/>
    <w:rsid w:val="00382167"/>
    <w:rsid w:val="003838EC"/>
    <w:rsid w:val="00387352"/>
    <w:rsid w:val="0039166F"/>
    <w:rsid w:val="00395CE1"/>
    <w:rsid w:val="003967C1"/>
    <w:rsid w:val="00396821"/>
    <w:rsid w:val="003974FA"/>
    <w:rsid w:val="003A0E81"/>
    <w:rsid w:val="003A343D"/>
    <w:rsid w:val="003A4A93"/>
    <w:rsid w:val="003B0642"/>
    <w:rsid w:val="003B1490"/>
    <w:rsid w:val="003B159D"/>
    <w:rsid w:val="003B15C3"/>
    <w:rsid w:val="003B22D1"/>
    <w:rsid w:val="003B2C8F"/>
    <w:rsid w:val="003B4834"/>
    <w:rsid w:val="003B5B47"/>
    <w:rsid w:val="003B68A7"/>
    <w:rsid w:val="003B775B"/>
    <w:rsid w:val="003C2AE8"/>
    <w:rsid w:val="003C2FBC"/>
    <w:rsid w:val="003C3825"/>
    <w:rsid w:val="003C38B0"/>
    <w:rsid w:val="003C5914"/>
    <w:rsid w:val="003C60E3"/>
    <w:rsid w:val="003C633D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43A7"/>
    <w:rsid w:val="003E5A7C"/>
    <w:rsid w:val="003F0548"/>
    <w:rsid w:val="003F208F"/>
    <w:rsid w:val="003F27BF"/>
    <w:rsid w:val="003F2860"/>
    <w:rsid w:val="003F3483"/>
    <w:rsid w:val="003F36B5"/>
    <w:rsid w:val="003F5CEB"/>
    <w:rsid w:val="003F6F77"/>
    <w:rsid w:val="003F711D"/>
    <w:rsid w:val="003F75A7"/>
    <w:rsid w:val="00400BED"/>
    <w:rsid w:val="004033E5"/>
    <w:rsid w:val="0040412C"/>
    <w:rsid w:val="00405A47"/>
    <w:rsid w:val="0040622C"/>
    <w:rsid w:val="0040699D"/>
    <w:rsid w:val="00406FEE"/>
    <w:rsid w:val="00410C40"/>
    <w:rsid w:val="0041135C"/>
    <w:rsid w:val="004117C8"/>
    <w:rsid w:val="004150CD"/>
    <w:rsid w:val="00416472"/>
    <w:rsid w:val="00420AD8"/>
    <w:rsid w:val="00421440"/>
    <w:rsid w:val="00421638"/>
    <w:rsid w:val="00424397"/>
    <w:rsid w:val="00425B8C"/>
    <w:rsid w:val="00425E7D"/>
    <w:rsid w:val="00426244"/>
    <w:rsid w:val="00427DC2"/>
    <w:rsid w:val="00430129"/>
    <w:rsid w:val="004324BD"/>
    <w:rsid w:val="0043407E"/>
    <w:rsid w:val="00434625"/>
    <w:rsid w:val="00435096"/>
    <w:rsid w:val="00437E68"/>
    <w:rsid w:val="0044055F"/>
    <w:rsid w:val="00441218"/>
    <w:rsid w:val="0044178B"/>
    <w:rsid w:val="004439FD"/>
    <w:rsid w:val="00445CA6"/>
    <w:rsid w:val="004464CC"/>
    <w:rsid w:val="004572FA"/>
    <w:rsid w:val="004576F3"/>
    <w:rsid w:val="004611B5"/>
    <w:rsid w:val="00462A0C"/>
    <w:rsid w:val="00466050"/>
    <w:rsid w:val="00466B57"/>
    <w:rsid w:val="00470E61"/>
    <w:rsid w:val="00471D7F"/>
    <w:rsid w:val="00480DC3"/>
    <w:rsid w:val="004816BC"/>
    <w:rsid w:val="004835AB"/>
    <w:rsid w:val="00483895"/>
    <w:rsid w:val="00484C3A"/>
    <w:rsid w:val="004850D5"/>
    <w:rsid w:val="004855EF"/>
    <w:rsid w:val="00485FD9"/>
    <w:rsid w:val="00490B44"/>
    <w:rsid w:val="00493136"/>
    <w:rsid w:val="00493E9A"/>
    <w:rsid w:val="00496409"/>
    <w:rsid w:val="0049749C"/>
    <w:rsid w:val="00497DE1"/>
    <w:rsid w:val="004A231E"/>
    <w:rsid w:val="004A3196"/>
    <w:rsid w:val="004A3DB0"/>
    <w:rsid w:val="004B0D09"/>
    <w:rsid w:val="004B1263"/>
    <w:rsid w:val="004B29BC"/>
    <w:rsid w:val="004B46E8"/>
    <w:rsid w:val="004B7573"/>
    <w:rsid w:val="004C0704"/>
    <w:rsid w:val="004C59A6"/>
    <w:rsid w:val="004D17A6"/>
    <w:rsid w:val="004D26F9"/>
    <w:rsid w:val="004D7B47"/>
    <w:rsid w:val="004E2497"/>
    <w:rsid w:val="004E3AB1"/>
    <w:rsid w:val="004E422E"/>
    <w:rsid w:val="004E767B"/>
    <w:rsid w:val="004F1B2F"/>
    <w:rsid w:val="004F2321"/>
    <w:rsid w:val="004F2417"/>
    <w:rsid w:val="004F5AB2"/>
    <w:rsid w:val="0050185A"/>
    <w:rsid w:val="00501E22"/>
    <w:rsid w:val="00510802"/>
    <w:rsid w:val="005131CE"/>
    <w:rsid w:val="00515451"/>
    <w:rsid w:val="005165EB"/>
    <w:rsid w:val="005233E0"/>
    <w:rsid w:val="00523560"/>
    <w:rsid w:val="00527AC4"/>
    <w:rsid w:val="0053140C"/>
    <w:rsid w:val="0053399C"/>
    <w:rsid w:val="00534D33"/>
    <w:rsid w:val="0053506B"/>
    <w:rsid w:val="005370EC"/>
    <w:rsid w:val="005406F9"/>
    <w:rsid w:val="0054275A"/>
    <w:rsid w:val="00543222"/>
    <w:rsid w:val="00544450"/>
    <w:rsid w:val="00547406"/>
    <w:rsid w:val="005532C7"/>
    <w:rsid w:val="0055381D"/>
    <w:rsid w:val="0055654D"/>
    <w:rsid w:val="0056160F"/>
    <w:rsid w:val="00562F98"/>
    <w:rsid w:val="00564957"/>
    <w:rsid w:val="00564C7D"/>
    <w:rsid w:val="00567ACE"/>
    <w:rsid w:val="00570728"/>
    <w:rsid w:val="005708BF"/>
    <w:rsid w:val="00570A55"/>
    <w:rsid w:val="00570C98"/>
    <w:rsid w:val="00572781"/>
    <w:rsid w:val="00572A14"/>
    <w:rsid w:val="0057502A"/>
    <w:rsid w:val="00576720"/>
    <w:rsid w:val="005773E3"/>
    <w:rsid w:val="00581B0F"/>
    <w:rsid w:val="005830B0"/>
    <w:rsid w:val="0058312E"/>
    <w:rsid w:val="005851C8"/>
    <w:rsid w:val="0058522A"/>
    <w:rsid w:val="005870D9"/>
    <w:rsid w:val="005870DD"/>
    <w:rsid w:val="00590695"/>
    <w:rsid w:val="00591512"/>
    <w:rsid w:val="00594033"/>
    <w:rsid w:val="00595CEE"/>
    <w:rsid w:val="00596075"/>
    <w:rsid w:val="005A44F5"/>
    <w:rsid w:val="005A5523"/>
    <w:rsid w:val="005B3272"/>
    <w:rsid w:val="005B3C35"/>
    <w:rsid w:val="005B498D"/>
    <w:rsid w:val="005B505D"/>
    <w:rsid w:val="005B5D38"/>
    <w:rsid w:val="005C0056"/>
    <w:rsid w:val="005C212A"/>
    <w:rsid w:val="005C33E2"/>
    <w:rsid w:val="005C3BE1"/>
    <w:rsid w:val="005C46D1"/>
    <w:rsid w:val="005D248B"/>
    <w:rsid w:val="005D3724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04E65"/>
    <w:rsid w:val="0061180A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658A"/>
    <w:rsid w:val="0065673F"/>
    <w:rsid w:val="006578EC"/>
    <w:rsid w:val="00657A6F"/>
    <w:rsid w:val="00661B66"/>
    <w:rsid w:val="00663921"/>
    <w:rsid w:val="006663B1"/>
    <w:rsid w:val="00667DDB"/>
    <w:rsid w:val="006719E4"/>
    <w:rsid w:val="00673822"/>
    <w:rsid w:val="006775CA"/>
    <w:rsid w:val="006776FE"/>
    <w:rsid w:val="0068034E"/>
    <w:rsid w:val="0068056A"/>
    <w:rsid w:val="00682559"/>
    <w:rsid w:val="00682DC8"/>
    <w:rsid w:val="006830DB"/>
    <w:rsid w:val="00684B33"/>
    <w:rsid w:val="006859B7"/>
    <w:rsid w:val="00686D87"/>
    <w:rsid w:val="0068719D"/>
    <w:rsid w:val="00691181"/>
    <w:rsid w:val="00692B62"/>
    <w:rsid w:val="00693321"/>
    <w:rsid w:val="00693542"/>
    <w:rsid w:val="00694AB3"/>
    <w:rsid w:val="00694EFF"/>
    <w:rsid w:val="0069693A"/>
    <w:rsid w:val="00696AF7"/>
    <w:rsid w:val="006A0EC7"/>
    <w:rsid w:val="006A1932"/>
    <w:rsid w:val="006A1E01"/>
    <w:rsid w:val="006A3476"/>
    <w:rsid w:val="006A41DE"/>
    <w:rsid w:val="006A47A2"/>
    <w:rsid w:val="006A493E"/>
    <w:rsid w:val="006A7D49"/>
    <w:rsid w:val="006B1B1E"/>
    <w:rsid w:val="006B398B"/>
    <w:rsid w:val="006B3FC1"/>
    <w:rsid w:val="006C2FB0"/>
    <w:rsid w:val="006C4EE2"/>
    <w:rsid w:val="006C62DA"/>
    <w:rsid w:val="006C6499"/>
    <w:rsid w:val="006C77A4"/>
    <w:rsid w:val="006D20E2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5CA9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50CD"/>
    <w:rsid w:val="0073687D"/>
    <w:rsid w:val="00737314"/>
    <w:rsid w:val="00737395"/>
    <w:rsid w:val="007449DE"/>
    <w:rsid w:val="00746294"/>
    <w:rsid w:val="007464DB"/>
    <w:rsid w:val="00746651"/>
    <w:rsid w:val="00750BCA"/>
    <w:rsid w:val="0075480C"/>
    <w:rsid w:val="00754C45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23EF"/>
    <w:rsid w:val="00792911"/>
    <w:rsid w:val="00793647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3960"/>
    <w:rsid w:val="007C4BC6"/>
    <w:rsid w:val="007C56ED"/>
    <w:rsid w:val="007C7CC8"/>
    <w:rsid w:val="007D0242"/>
    <w:rsid w:val="007D1B10"/>
    <w:rsid w:val="007D2DE1"/>
    <w:rsid w:val="007D4E77"/>
    <w:rsid w:val="007D725C"/>
    <w:rsid w:val="007D7881"/>
    <w:rsid w:val="007E2AD7"/>
    <w:rsid w:val="007E57A9"/>
    <w:rsid w:val="007E711B"/>
    <w:rsid w:val="007E716B"/>
    <w:rsid w:val="007F2E76"/>
    <w:rsid w:val="007F2F53"/>
    <w:rsid w:val="007F3733"/>
    <w:rsid w:val="007F71FD"/>
    <w:rsid w:val="0080110D"/>
    <w:rsid w:val="0080503E"/>
    <w:rsid w:val="00806DA4"/>
    <w:rsid w:val="00810F1A"/>
    <w:rsid w:val="00812C36"/>
    <w:rsid w:val="008153BB"/>
    <w:rsid w:val="00816EE6"/>
    <w:rsid w:val="00816F67"/>
    <w:rsid w:val="008170FC"/>
    <w:rsid w:val="00817C42"/>
    <w:rsid w:val="0082056D"/>
    <w:rsid w:val="0082230F"/>
    <w:rsid w:val="00823046"/>
    <w:rsid w:val="00824283"/>
    <w:rsid w:val="00826C90"/>
    <w:rsid w:val="0083168F"/>
    <w:rsid w:val="0083184C"/>
    <w:rsid w:val="008330FC"/>
    <w:rsid w:val="008337D5"/>
    <w:rsid w:val="00836A37"/>
    <w:rsid w:val="00840241"/>
    <w:rsid w:val="008405A5"/>
    <w:rsid w:val="008416A6"/>
    <w:rsid w:val="00844711"/>
    <w:rsid w:val="00844751"/>
    <w:rsid w:val="00846099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0E61"/>
    <w:rsid w:val="00871B7C"/>
    <w:rsid w:val="008739E5"/>
    <w:rsid w:val="00873FD3"/>
    <w:rsid w:val="008756E6"/>
    <w:rsid w:val="0087661E"/>
    <w:rsid w:val="00880F7C"/>
    <w:rsid w:val="008811B5"/>
    <w:rsid w:val="00881898"/>
    <w:rsid w:val="0088487C"/>
    <w:rsid w:val="00884DE0"/>
    <w:rsid w:val="00885C87"/>
    <w:rsid w:val="008869B4"/>
    <w:rsid w:val="00890F23"/>
    <w:rsid w:val="008931CF"/>
    <w:rsid w:val="00895BDF"/>
    <w:rsid w:val="0089646B"/>
    <w:rsid w:val="008A1447"/>
    <w:rsid w:val="008A1C29"/>
    <w:rsid w:val="008A296A"/>
    <w:rsid w:val="008A7DED"/>
    <w:rsid w:val="008B14CF"/>
    <w:rsid w:val="008B2C36"/>
    <w:rsid w:val="008B343B"/>
    <w:rsid w:val="008B457A"/>
    <w:rsid w:val="008B589D"/>
    <w:rsid w:val="008B5C79"/>
    <w:rsid w:val="008B6238"/>
    <w:rsid w:val="008B76C9"/>
    <w:rsid w:val="008C0997"/>
    <w:rsid w:val="008C0A08"/>
    <w:rsid w:val="008C2A4C"/>
    <w:rsid w:val="008C387D"/>
    <w:rsid w:val="008C3F27"/>
    <w:rsid w:val="008C692E"/>
    <w:rsid w:val="008C75F5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3790"/>
    <w:rsid w:val="009139F2"/>
    <w:rsid w:val="00914382"/>
    <w:rsid w:val="00914D8C"/>
    <w:rsid w:val="0091662B"/>
    <w:rsid w:val="009274F9"/>
    <w:rsid w:val="00927EE7"/>
    <w:rsid w:val="009330E5"/>
    <w:rsid w:val="009333B0"/>
    <w:rsid w:val="009335FA"/>
    <w:rsid w:val="00935B87"/>
    <w:rsid w:val="00935F0A"/>
    <w:rsid w:val="009363B9"/>
    <w:rsid w:val="009377BC"/>
    <w:rsid w:val="00941504"/>
    <w:rsid w:val="009453D8"/>
    <w:rsid w:val="00945C13"/>
    <w:rsid w:val="009515B0"/>
    <w:rsid w:val="009531BC"/>
    <w:rsid w:val="00953341"/>
    <w:rsid w:val="00956AB4"/>
    <w:rsid w:val="0096271C"/>
    <w:rsid w:val="00963628"/>
    <w:rsid w:val="0096590B"/>
    <w:rsid w:val="009660A9"/>
    <w:rsid w:val="0096735A"/>
    <w:rsid w:val="009734FB"/>
    <w:rsid w:val="00975967"/>
    <w:rsid w:val="00977CA1"/>
    <w:rsid w:val="0098115B"/>
    <w:rsid w:val="009816B7"/>
    <w:rsid w:val="00982850"/>
    <w:rsid w:val="00982E29"/>
    <w:rsid w:val="00986AAF"/>
    <w:rsid w:val="00987794"/>
    <w:rsid w:val="009917B8"/>
    <w:rsid w:val="00991B14"/>
    <w:rsid w:val="009925D7"/>
    <w:rsid w:val="00994CC0"/>
    <w:rsid w:val="00995A24"/>
    <w:rsid w:val="00997661"/>
    <w:rsid w:val="009A1016"/>
    <w:rsid w:val="009A2872"/>
    <w:rsid w:val="009A5FAB"/>
    <w:rsid w:val="009A7187"/>
    <w:rsid w:val="009A78B3"/>
    <w:rsid w:val="009A7CFF"/>
    <w:rsid w:val="009B1732"/>
    <w:rsid w:val="009B1B48"/>
    <w:rsid w:val="009B5F0E"/>
    <w:rsid w:val="009B63F3"/>
    <w:rsid w:val="009B6F6F"/>
    <w:rsid w:val="009C1DED"/>
    <w:rsid w:val="009C3A0F"/>
    <w:rsid w:val="009C518D"/>
    <w:rsid w:val="009C6F6B"/>
    <w:rsid w:val="009C7461"/>
    <w:rsid w:val="009C7A0D"/>
    <w:rsid w:val="009D05FD"/>
    <w:rsid w:val="009D1D40"/>
    <w:rsid w:val="009D253F"/>
    <w:rsid w:val="009D383C"/>
    <w:rsid w:val="009D5407"/>
    <w:rsid w:val="009D575E"/>
    <w:rsid w:val="009D66CB"/>
    <w:rsid w:val="009D671A"/>
    <w:rsid w:val="009D6EA9"/>
    <w:rsid w:val="009D72B5"/>
    <w:rsid w:val="009D72DB"/>
    <w:rsid w:val="009E10CF"/>
    <w:rsid w:val="009E227F"/>
    <w:rsid w:val="009E33C4"/>
    <w:rsid w:val="009E49DA"/>
    <w:rsid w:val="009E5F2B"/>
    <w:rsid w:val="009F177E"/>
    <w:rsid w:val="009F1D79"/>
    <w:rsid w:val="009F31FB"/>
    <w:rsid w:val="009F6AC0"/>
    <w:rsid w:val="009F7E90"/>
    <w:rsid w:val="00A00FD9"/>
    <w:rsid w:val="00A0269B"/>
    <w:rsid w:val="00A04E5E"/>
    <w:rsid w:val="00A06F40"/>
    <w:rsid w:val="00A07391"/>
    <w:rsid w:val="00A1081B"/>
    <w:rsid w:val="00A10F90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2DCB"/>
    <w:rsid w:val="00A33B48"/>
    <w:rsid w:val="00A34E86"/>
    <w:rsid w:val="00A404B7"/>
    <w:rsid w:val="00A405DB"/>
    <w:rsid w:val="00A45EB8"/>
    <w:rsid w:val="00A473CD"/>
    <w:rsid w:val="00A50002"/>
    <w:rsid w:val="00A5293F"/>
    <w:rsid w:val="00A552F9"/>
    <w:rsid w:val="00A56E3B"/>
    <w:rsid w:val="00A57273"/>
    <w:rsid w:val="00A62747"/>
    <w:rsid w:val="00A6278E"/>
    <w:rsid w:val="00A63967"/>
    <w:rsid w:val="00A65964"/>
    <w:rsid w:val="00A67E3A"/>
    <w:rsid w:val="00A67F51"/>
    <w:rsid w:val="00A710EC"/>
    <w:rsid w:val="00A73AAA"/>
    <w:rsid w:val="00A74699"/>
    <w:rsid w:val="00A751B7"/>
    <w:rsid w:val="00A761DC"/>
    <w:rsid w:val="00A770D1"/>
    <w:rsid w:val="00A8261D"/>
    <w:rsid w:val="00A8306F"/>
    <w:rsid w:val="00A84E8C"/>
    <w:rsid w:val="00A84FE6"/>
    <w:rsid w:val="00A854D8"/>
    <w:rsid w:val="00A85818"/>
    <w:rsid w:val="00A868EF"/>
    <w:rsid w:val="00A86CC9"/>
    <w:rsid w:val="00A87F14"/>
    <w:rsid w:val="00A90B92"/>
    <w:rsid w:val="00A90C44"/>
    <w:rsid w:val="00A91823"/>
    <w:rsid w:val="00A93CD1"/>
    <w:rsid w:val="00A95725"/>
    <w:rsid w:val="00AA1660"/>
    <w:rsid w:val="00AB099E"/>
    <w:rsid w:val="00AB0A72"/>
    <w:rsid w:val="00AB0A84"/>
    <w:rsid w:val="00AB2633"/>
    <w:rsid w:val="00AB4534"/>
    <w:rsid w:val="00AB5A99"/>
    <w:rsid w:val="00AC1154"/>
    <w:rsid w:val="00AC1CC1"/>
    <w:rsid w:val="00AC21C9"/>
    <w:rsid w:val="00AC2209"/>
    <w:rsid w:val="00AC5A55"/>
    <w:rsid w:val="00AD0486"/>
    <w:rsid w:val="00AD0BC4"/>
    <w:rsid w:val="00AD268E"/>
    <w:rsid w:val="00AD2AF0"/>
    <w:rsid w:val="00AD2D43"/>
    <w:rsid w:val="00AD59D0"/>
    <w:rsid w:val="00AD5E57"/>
    <w:rsid w:val="00AD6A17"/>
    <w:rsid w:val="00AE3BBE"/>
    <w:rsid w:val="00AE55B0"/>
    <w:rsid w:val="00AF0662"/>
    <w:rsid w:val="00AF30B1"/>
    <w:rsid w:val="00AF5E40"/>
    <w:rsid w:val="00AF5FB1"/>
    <w:rsid w:val="00AF76B7"/>
    <w:rsid w:val="00AF7D69"/>
    <w:rsid w:val="00B02101"/>
    <w:rsid w:val="00B03B65"/>
    <w:rsid w:val="00B04108"/>
    <w:rsid w:val="00B04141"/>
    <w:rsid w:val="00B05903"/>
    <w:rsid w:val="00B06D70"/>
    <w:rsid w:val="00B07D01"/>
    <w:rsid w:val="00B118E0"/>
    <w:rsid w:val="00B12E23"/>
    <w:rsid w:val="00B13801"/>
    <w:rsid w:val="00B13D24"/>
    <w:rsid w:val="00B13F75"/>
    <w:rsid w:val="00B14B51"/>
    <w:rsid w:val="00B157CD"/>
    <w:rsid w:val="00B15E0F"/>
    <w:rsid w:val="00B17B37"/>
    <w:rsid w:val="00B20166"/>
    <w:rsid w:val="00B2218E"/>
    <w:rsid w:val="00B224DB"/>
    <w:rsid w:val="00B2284C"/>
    <w:rsid w:val="00B236F8"/>
    <w:rsid w:val="00B248CA"/>
    <w:rsid w:val="00B25EAA"/>
    <w:rsid w:val="00B30876"/>
    <w:rsid w:val="00B3130D"/>
    <w:rsid w:val="00B32432"/>
    <w:rsid w:val="00B34848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5FD3"/>
    <w:rsid w:val="00B57E95"/>
    <w:rsid w:val="00B60154"/>
    <w:rsid w:val="00B61F3B"/>
    <w:rsid w:val="00B64D1D"/>
    <w:rsid w:val="00B64DB8"/>
    <w:rsid w:val="00B662F1"/>
    <w:rsid w:val="00B6654D"/>
    <w:rsid w:val="00B66DB3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35CC"/>
    <w:rsid w:val="00B84C15"/>
    <w:rsid w:val="00B87708"/>
    <w:rsid w:val="00B90038"/>
    <w:rsid w:val="00B93A56"/>
    <w:rsid w:val="00B94CDE"/>
    <w:rsid w:val="00B95192"/>
    <w:rsid w:val="00B95528"/>
    <w:rsid w:val="00BA297C"/>
    <w:rsid w:val="00BA5201"/>
    <w:rsid w:val="00BA6094"/>
    <w:rsid w:val="00BB0398"/>
    <w:rsid w:val="00BB2C5D"/>
    <w:rsid w:val="00BB4019"/>
    <w:rsid w:val="00BC132A"/>
    <w:rsid w:val="00BC168E"/>
    <w:rsid w:val="00BC34B9"/>
    <w:rsid w:val="00BC505C"/>
    <w:rsid w:val="00BC5E24"/>
    <w:rsid w:val="00BC701E"/>
    <w:rsid w:val="00BC764D"/>
    <w:rsid w:val="00BC7F2B"/>
    <w:rsid w:val="00BD1D05"/>
    <w:rsid w:val="00BD1F4C"/>
    <w:rsid w:val="00BD3C50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3E0"/>
    <w:rsid w:val="00BF4EC7"/>
    <w:rsid w:val="00BF50A9"/>
    <w:rsid w:val="00BF5CF6"/>
    <w:rsid w:val="00C01742"/>
    <w:rsid w:val="00C0179A"/>
    <w:rsid w:val="00C0434C"/>
    <w:rsid w:val="00C0485E"/>
    <w:rsid w:val="00C04FBA"/>
    <w:rsid w:val="00C11D79"/>
    <w:rsid w:val="00C126E1"/>
    <w:rsid w:val="00C13117"/>
    <w:rsid w:val="00C1317E"/>
    <w:rsid w:val="00C136E3"/>
    <w:rsid w:val="00C15531"/>
    <w:rsid w:val="00C159A8"/>
    <w:rsid w:val="00C17F88"/>
    <w:rsid w:val="00C2136E"/>
    <w:rsid w:val="00C21AE9"/>
    <w:rsid w:val="00C23646"/>
    <w:rsid w:val="00C240B6"/>
    <w:rsid w:val="00C31756"/>
    <w:rsid w:val="00C31F7F"/>
    <w:rsid w:val="00C32166"/>
    <w:rsid w:val="00C3279B"/>
    <w:rsid w:val="00C34061"/>
    <w:rsid w:val="00C3490A"/>
    <w:rsid w:val="00C35E79"/>
    <w:rsid w:val="00C367E2"/>
    <w:rsid w:val="00C36A3D"/>
    <w:rsid w:val="00C37E2F"/>
    <w:rsid w:val="00C40259"/>
    <w:rsid w:val="00C42DBB"/>
    <w:rsid w:val="00C44420"/>
    <w:rsid w:val="00C4579F"/>
    <w:rsid w:val="00C50CA0"/>
    <w:rsid w:val="00C52BA0"/>
    <w:rsid w:val="00C574C4"/>
    <w:rsid w:val="00C622B8"/>
    <w:rsid w:val="00C644C6"/>
    <w:rsid w:val="00C6464F"/>
    <w:rsid w:val="00C65638"/>
    <w:rsid w:val="00C66081"/>
    <w:rsid w:val="00C6765C"/>
    <w:rsid w:val="00C676F1"/>
    <w:rsid w:val="00C70518"/>
    <w:rsid w:val="00C715E6"/>
    <w:rsid w:val="00C73F59"/>
    <w:rsid w:val="00C74F29"/>
    <w:rsid w:val="00C757E0"/>
    <w:rsid w:val="00C75813"/>
    <w:rsid w:val="00C75C56"/>
    <w:rsid w:val="00C765DD"/>
    <w:rsid w:val="00C76853"/>
    <w:rsid w:val="00C80BCF"/>
    <w:rsid w:val="00C81C7D"/>
    <w:rsid w:val="00C90CBA"/>
    <w:rsid w:val="00C91918"/>
    <w:rsid w:val="00C92D73"/>
    <w:rsid w:val="00C9602D"/>
    <w:rsid w:val="00C969C1"/>
    <w:rsid w:val="00C9708E"/>
    <w:rsid w:val="00C97893"/>
    <w:rsid w:val="00C97F98"/>
    <w:rsid w:val="00CA3C14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06E0"/>
    <w:rsid w:val="00CC1535"/>
    <w:rsid w:val="00CC46C4"/>
    <w:rsid w:val="00CC61C6"/>
    <w:rsid w:val="00CC6C0E"/>
    <w:rsid w:val="00CD1557"/>
    <w:rsid w:val="00CD2440"/>
    <w:rsid w:val="00CD352C"/>
    <w:rsid w:val="00CD3703"/>
    <w:rsid w:val="00CD6196"/>
    <w:rsid w:val="00CD7C57"/>
    <w:rsid w:val="00CE327F"/>
    <w:rsid w:val="00CE433A"/>
    <w:rsid w:val="00CE5649"/>
    <w:rsid w:val="00CF0DA5"/>
    <w:rsid w:val="00CF3A41"/>
    <w:rsid w:val="00D01070"/>
    <w:rsid w:val="00D02027"/>
    <w:rsid w:val="00D0479D"/>
    <w:rsid w:val="00D04E46"/>
    <w:rsid w:val="00D05114"/>
    <w:rsid w:val="00D05684"/>
    <w:rsid w:val="00D059C8"/>
    <w:rsid w:val="00D10101"/>
    <w:rsid w:val="00D1142C"/>
    <w:rsid w:val="00D12397"/>
    <w:rsid w:val="00D12E76"/>
    <w:rsid w:val="00D207EF"/>
    <w:rsid w:val="00D21BD3"/>
    <w:rsid w:val="00D229A9"/>
    <w:rsid w:val="00D2609D"/>
    <w:rsid w:val="00D261E7"/>
    <w:rsid w:val="00D26939"/>
    <w:rsid w:val="00D26C1A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21CF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3FD8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1E13"/>
    <w:rsid w:val="00D824F1"/>
    <w:rsid w:val="00D82521"/>
    <w:rsid w:val="00D82730"/>
    <w:rsid w:val="00D82D13"/>
    <w:rsid w:val="00D83C3E"/>
    <w:rsid w:val="00D84173"/>
    <w:rsid w:val="00D8647C"/>
    <w:rsid w:val="00D87989"/>
    <w:rsid w:val="00D90239"/>
    <w:rsid w:val="00D918E1"/>
    <w:rsid w:val="00D920AD"/>
    <w:rsid w:val="00D94C3D"/>
    <w:rsid w:val="00D95F2B"/>
    <w:rsid w:val="00D9764D"/>
    <w:rsid w:val="00D97C32"/>
    <w:rsid w:val="00DA27F4"/>
    <w:rsid w:val="00DA2E3F"/>
    <w:rsid w:val="00DA3080"/>
    <w:rsid w:val="00DA395D"/>
    <w:rsid w:val="00DA516E"/>
    <w:rsid w:val="00DA521E"/>
    <w:rsid w:val="00DA5694"/>
    <w:rsid w:val="00DB0417"/>
    <w:rsid w:val="00DB15D9"/>
    <w:rsid w:val="00DB1C54"/>
    <w:rsid w:val="00DB276F"/>
    <w:rsid w:val="00DB2B66"/>
    <w:rsid w:val="00DB30DF"/>
    <w:rsid w:val="00DB657D"/>
    <w:rsid w:val="00DC24F5"/>
    <w:rsid w:val="00DC3604"/>
    <w:rsid w:val="00DC574F"/>
    <w:rsid w:val="00DD2856"/>
    <w:rsid w:val="00DD69EE"/>
    <w:rsid w:val="00DE18E6"/>
    <w:rsid w:val="00DE2849"/>
    <w:rsid w:val="00DE4001"/>
    <w:rsid w:val="00DE5A88"/>
    <w:rsid w:val="00DE5E51"/>
    <w:rsid w:val="00DE64A1"/>
    <w:rsid w:val="00DF0EE9"/>
    <w:rsid w:val="00DF2864"/>
    <w:rsid w:val="00DF4B86"/>
    <w:rsid w:val="00DF5D2F"/>
    <w:rsid w:val="00E014B2"/>
    <w:rsid w:val="00E01ADA"/>
    <w:rsid w:val="00E01BC8"/>
    <w:rsid w:val="00E02C4C"/>
    <w:rsid w:val="00E02D44"/>
    <w:rsid w:val="00E07907"/>
    <w:rsid w:val="00E079D4"/>
    <w:rsid w:val="00E11336"/>
    <w:rsid w:val="00E165DE"/>
    <w:rsid w:val="00E17E10"/>
    <w:rsid w:val="00E20D5F"/>
    <w:rsid w:val="00E224DE"/>
    <w:rsid w:val="00E2344B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5626"/>
    <w:rsid w:val="00E46C45"/>
    <w:rsid w:val="00E513A2"/>
    <w:rsid w:val="00E532A9"/>
    <w:rsid w:val="00E53972"/>
    <w:rsid w:val="00E563F1"/>
    <w:rsid w:val="00E569AC"/>
    <w:rsid w:val="00E56CB9"/>
    <w:rsid w:val="00E60694"/>
    <w:rsid w:val="00E60B55"/>
    <w:rsid w:val="00E63052"/>
    <w:rsid w:val="00E658F5"/>
    <w:rsid w:val="00E676E5"/>
    <w:rsid w:val="00E705BE"/>
    <w:rsid w:val="00E7332D"/>
    <w:rsid w:val="00E736E9"/>
    <w:rsid w:val="00E77771"/>
    <w:rsid w:val="00E8165B"/>
    <w:rsid w:val="00E81BCB"/>
    <w:rsid w:val="00E844CA"/>
    <w:rsid w:val="00E857B0"/>
    <w:rsid w:val="00E9045D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5B6F"/>
    <w:rsid w:val="00EC701B"/>
    <w:rsid w:val="00EC733C"/>
    <w:rsid w:val="00ED0545"/>
    <w:rsid w:val="00ED0857"/>
    <w:rsid w:val="00ED14F4"/>
    <w:rsid w:val="00ED39B6"/>
    <w:rsid w:val="00ED3F2C"/>
    <w:rsid w:val="00ED69D4"/>
    <w:rsid w:val="00ED6B83"/>
    <w:rsid w:val="00EE1DA7"/>
    <w:rsid w:val="00EE4160"/>
    <w:rsid w:val="00EF0590"/>
    <w:rsid w:val="00EF07D7"/>
    <w:rsid w:val="00EF46D7"/>
    <w:rsid w:val="00EF57DF"/>
    <w:rsid w:val="00F003A7"/>
    <w:rsid w:val="00F01A27"/>
    <w:rsid w:val="00F07891"/>
    <w:rsid w:val="00F106FA"/>
    <w:rsid w:val="00F114A8"/>
    <w:rsid w:val="00F1522E"/>
    <w:rsid w:val="00F163EB"/>
    <w:rsid w:val="00F1789E"/>
    <w:rsid w:val="00F213DA"/>
    <w:rsid w:val="00F225C9"/>
    <w:rsid w:val="00F252D0"/>
    <w:rsid w:val="00F26066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C06"/>
    <w:rsid w:val="00F6697A"/>
    <w:rsid w:val="00F66BF1"/>
    <w:rsid w:val="00F746EB"/>
    <w:rsid w:val="00F74E70"/>
    <w:rsid w:val="00F7641E"/>
    <w:rsid w:val="00F76C61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A187E"/>
    <w:rsid w:val="00FA6ABC"/>
    <w:rsid w:val="00FA735A"/>
    <w:rsid w:val="00FA7488"/>
    <w:rsid w:val="00FA74FF"/>
    <w:rsid w:val="00FB01F8"/>
    <w:rsid w:val="00FB07AB"/>
    <w:rsid w:val="00FB3891"/>
    <w:rsid w:val="00FB5423"/>
    <w:rsid w:val="00FB7087"/>
    <w:rsid w:val="00FB723F"/>
    <w:rsid w:val="00FC40F7"/>
    <w:rsid w:val="00FD0340"/>
    <w:rsid w:val="00FD1BE5"/>
    <w:rsid w:val="00FD412B"/>
    <w:rsid w:val="00FD4331"/>
    <w:rsid w:val="00FD47BD"/>
    <w:rsid w:val="00FD538A"/>
    <w:rsid w:val="00FD6622"/>
    <w:rsid w:val="00FD691A"/>
    <w:rsid w:val="00FD6A02"/>
    <w:rsid w:val="00FE0066"/>
    <w:rsid w:val="00FE1A0F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39F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587948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76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76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576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3548141632159754"/>
          <c:h val="0.8503996844953966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24%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მრავალმხრივი
56%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274952484387728"/>
                  <c:y val="-2.1195607128056283E-2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133522553866808"/>
                      <c:h val="0.2285350310940862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0.13604971792319065"/>
                  <c:y val="-3.5968365796382323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61148751761"/>
                      <c:h val="0.146412357239128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8524433764580517"/>
                  <c:y val="-1.1840670175295508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76%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5969266662180048"/>
          <c:y val="0"/>
        </c:manualLayout>
      </c:layout>
      <c:overlay val="0"/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502344258249767E-2"/>
          <c:y val="0.25312899645933518"/>
          <c:w val="0.93710119568387285"/>
          <c:h val="0.74687100354066482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C7-4333-85A6-28A4B873D902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1C7-4333-85A6-28A4B873D902}"/>
              </c:ext>
            </c:extLst>
          </c:dPt>
          <c:dLbls>
            <c:dLbl>
              <c:idx val="0"/>
              <c:layout>
                <c:manualLayout>
                  <c:x val="-0.11590016613749321"/>
                  <c:y val="-0.1440158050097049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53%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9245171276667346"/>
                      <c:h val="0.3109506949215240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1C7-4333-85A6-28A4B873D902}"/>
                </c:ext>
              </c:extLst>
            </c:dLbl>
            <c:dLbl>
              <c:idx val="1"/>
              <c:layout>
                <c:manualLayout>
                  <c:x val="0.16597797070238013"/>
                  <c:y val="7.2538533354471593E-2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52199750-D3D4-4EF5-B2FB-1221535734FC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47%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5056781475048002"/>
                      <c:h val="0.2993871276037081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1C7-4333-85A6-28A4B873D9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GVT'!$L$40:$L$41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GVT'!$M$40:$M$41</c:f>
              <c:numCache>
                <c:formatCode>_(* #,##0_);_(* \(#,##0\);_(* "-"??_);_(@_)</c:formatCode>
                <c:ptCount val="2"/>
                <c:pt idx="0">
                  <c:v>3479814.3127420009</c:v>
                </c:pt>
                <c:pt idx="1">
                  <c:v>3257941.7071850006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C7-4333-85A6-28A4B873D90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366291485513895"/>
          <c:h val="0.7360549162123967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5081-4972-AEE2-3808A9CB1816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5081-4972-AEE2-3808A9CB1816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5081-4972-AEE2-3808A9CB1816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CCA4667D-2301-4FC9-92CC-1995B007F7D7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081-4972-AEE2-3808A9CB1816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A0EAEC30-4977-4293-B199-C1751B452A0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081-4972-AEE2-3808A9CB1816}"/>
                </c:ext>
              </c:extLst>
            </c:dLbl>
            <c:dLbl>
              <c:idx val="2"/>
              <c:layout>
                <c:manualLayout>
                  <c:x val="-0.11856446541340979"/>
                  <c:y val="0.19262160515865673"/>
                </c:manualLayout>
              </c:layout>
              <c:tx>
                <c:rich>
                  <a:bodyPr/>
                  <a:lstStyle/>
                  <a:p>
                    <a:fld id="{91897848-FE90-4144-9F93-24B4BFD9B6D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26%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081-4972-AEE2-3808A9CB181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92FF521B-3091-4C18-91D1-F6308DE25B3D}" type="CATEGORYNAME">
                      <a:rPr lang="ka-GE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 2%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5081-4972-AEE2-3808A9CB181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GVT'!$M$51:$M$54</c:f>
              <c:numCache>
                <c:formatCode>0%</c:formatCode>
                <c:ptCount val="4"/>
                <c:pt idx="0">
                  <c:v>0.42030205467705289</c:v>
                </c:pt>
                <c:pt idx="1">
                  <c:v>0.26883764891736539</c:v>
                </c:pt>
                <c:pt idx="2">
                  <c:v>0.27724464243367464</c:v>
                </c:pt>
                <c:pt idx="3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081-4972-AEE2-3808A9CB1816}"/>
            </c:ext>
          </c:extLst>
        </c:ser>
        <c:ser>
          <c:idx val="1"/>
          <c:order val="1"/>
          <c:explosion val="25"/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GVT'!$M$50:$M$54</c:f>
              <c:numCache>
                <c:formatCode>0%</c:formatCode>
                <c:ptCount val="5"/>
                <c:pt idx="1">
                  <c:v>0.42030205467705289</c:v>
                </c:pt>
                <c:pt idx="2">
                  <c:v>0.26883764891736539</c:v>
                </c:pt>
                <c:pt idx="3">
                  <c:v>0.27724464243367464</c:v>
                </c:pt>
                <c:pt idx="4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81-4972-AEE2-3808A9CB18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0.22876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71"/>
          <a:ext cx="2048742" cy="3026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pPr algn="ctr"/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0607-364F-4324-B689-76CAFB3A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7</cp:revision>
  <cp:lastPrinted>2022-09-29T21:30:00Z</cp:lastPrinted>
  <dcterms:created xsi:type="dcterms:W3CDTF">2022-09-28T18:33:00Z</dcterms:created>
  <dcterms:modified xsi:type="dcterms:W3CDTF">2022-09-29T22:57:00Z</dcterms:modified>
</cp:coreProperties>
</file>